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31" w:rsidRDefault="00FA6C31" w:rsidP="00FA6C31">
      <w:pPr>
        <w:jc w:val="both"/>
      </w:pPr>
      <w:r w:rsidRPr="004C6DAE">
        <w:t xml:space="preserve">V Praze, dne </w:t>
      </w:r>
      <w:r w:rsidR="00EE72C8">
        <w:t>15</w:t>
      </w:r>
      <w:r w:rsidRPr="0051064F">
        <w:t>.</w:t>
      </w:r>
      <w:r w:rsidRPr="004C6DAE">
        <w:t xml:space="preserve"> </w:t>
      </w:r>
      <w:r w:rsidR="00E8076D">
        <w:t>ledna 2</w:t>
      </w:r>
      <w:r w:rsidRPr="004C6DAE">
        <w:t>01</w:t>
      </w:r>
      <w:r w:rsidR="00E8076D">
        <w:t>8</w:t>
      </w:r>
    </w:p>
    <w:p w:rsidR="00FA6C31" w:rsidRPr="00D9268E" w:rsidRDefault="00FA6C31" w:rsidP="00FA6C31">
      <w:pPr>
        <w:pStyle w:val="Nadpis1"/>
        <w:jc w:val="both"/>
        <w:rPr>
          <w:b w:val="0"/>
          <w:i/>
          <w:color w:val="C00000"/>
          <w:sz w:val="28"/>
          <w:szCs w:val="28"/>
        </w:rPr>
      </w:pPr>
      <w:r>
        <w:t xml:space="preserve">TISKOVÁ ZPRÁVA </w:t>
      </w:r>
    </w:p>
    <w:p w:rsidR="00B01A2E" w:rsidRPr="00B01A2E" w:rsidRDefault="00B01A2E" w:rsidP="00B01A2E">
      <w:pPr>
        <w:pStyle w:val="gmail-msonormal"/>
        <w:jc w:val="both"/>
        <w:rPr>
          <w:rFonts w:ascii="Arial" w:hAnsi="Arial" w:cs="Arial"/>
          <w:b/>
          <w:sz w:val="32"/>
          <w:szCs w:val="32"/>
        </w:rPr>
      </w:pPr>
      <w:bookmarkStart w:id="0" w:name="_Hlk500872893"/>
      <w:bookmarkEnd w:id="0"/>
      <w:r>
        <w:rPr>
          <w:rFonts w:ascii="Arial" w:hAnsi="Arial" w:cs="Arial"/>
          <w:b/>
          <w:sz w:val="32"/>
          <w:szCs w:val="32"/>
        </w:rPr>
        <w:t xml:space="preserve">IOF: </w:t>
      </w:r>
      <w:r w:rsidR="001570B8">
        <w:rPr>
          <w:rFonts w:ascii="Arial" w:hAnsi="Arial" w:cs="Arial"/>
          <w:b/>
          <w:sz w:val="32"/>
          <w:szCs w:val="32"/>
        </w:rPr>
        <w:t>Optimismus i</w:t>
      </w:r>
      <w:r w:rsidRPr="00B01A2E">
        <w:rPr>
          <w:rFonts w:ascii="Arial" w:hAnsi="Arial" w:cs="Arial"/>
          <w:b/>
          <w:sz w:val="32"/>
          <w:szCs w:val="32"/>
        </w:rPr>
        <w:t xml:space="preserve"> spokojenost podnikatelů </w:t>
      </w:r>
      <w:r w:rsidR="001570B8">
        <w:rPr>
          <w:rFonts w:ascii="Arial" w:hAnsi="Arial" w:cs="Arial"/>
          <w:b/>
          <w:sz w:val="32"/>
          <w:szCs w:val="32"/>
        </w:rPr>
        <w:t>lámou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01A2E">
        <w:rPr>
          <w:rFonts w:ascii="Arial" w:hAnsi="Arial" w:cs="Arial"/>
          <w:b/>
          <w:sz w:val="32"/>
          <w:szCs w:val="32"/>
        </w:rPr>
        <w:t>rekord</w:t>
      </w:r>
      <w:r>
        <w:rPr>
          <w:rFonts w:ascii="Arial" w:hAnsi="Arial" w:cs="Arial"/>
          <w:b/>
          <w:sz w:val="32"/>
          <w:szCs w:val="32"/>
        </w:rPr>
        <w:t>y</w:t>
      </w:r>
    </w:p>
    <w:p w:rsidR="00B01A2E" w:rsidRPr="00B01A2E" w:rsidRDefault="00B01A2E" w:rsidP="00B01A2E">
      <w:pPr>
        <w:pStyle w:val="gmail-msonormal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Optimismus i spokojenost malých a středních firem a podnikatelů</w:t>
      </w:r>
      <w:r w:rsidR="00A51B91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lám</w:t>
      </w:r>
      <w:r w:rsidR="001570B8">
        <w:rPr>
          <w:rFonts w:ascii="Arial" w:hAnsi="Arial" w:cs="Arial"/>
          <w:b/>
          <w:szCs w:val="20"/>
        </w:rPr>
        <w:t>ou</w:t>
      </w:r>
      <w:r>
        <w:rPr>
          <w:rFonts w:ascii="Arial" w:hAnsi="Arial" w:cs="Arial"/>
          <w:b/>
          <w:szCs w:val="20"/>
        </w:rPr>
        <w:t xml:space="preserve"> rekordy. Index očekávání firem ve čtvrtém čtvrtletí </w:t>
      </w:r>
      <w:r w:rsidR="000C65E7">
        <w:rPr>
          <w:rFonts w:ascii="Arial" w:hAnsi="Arial" w:cs="Arial"/>
          <w:b/>
          <w:szCs w:val="20"/>
        </w:rPr>
        <w:t xml:space="preserve">2017 </w:t>
      </w:r>
      <w:r>
        <w:rPr>
          <w:rFonts w:ascii="Arial" w:hAnsi="Arial" w:cs="Arial"/>
          <w:b/>
          <w:szCs w:val="20"/>
        </w:rPr>
        <w:t>vzrostl o 12,5 bodu na dosud nejvyšší hodnotu 41,6 bodu. S ekonomickým vývojem v </w:t>
      </w:r>
      <w:r w:rsidR="000C65E7">
        <w:rPr>
          <w:rFonts w:ascii="Arial" w:hAnsi="Arial" w:cs="Arial"/>
          <w:b/>
          <w:szCs w:val="20"/>
        </w:rPr>
        <w:t>ČR</w:t>
      </w:r>
      <w:r>
        <w:rPr>
          <w:rFonts w:ascii="Arial" w:hAnsi="Arial" w:cs="Arial"/>
          <w:b/>
          <w:szCs w:val="20"/>
        </w:rPr>
        <w:t xml:space="preserve"> pak vyjádřily spokojenost tři čtvrtiny dotazovaných. </w:t>
      </w:r>
      <w:r w:rsidRPr="00B01A2E">
        <w:rPr>
          <w:rFonts w:ascii="Arial" w:hAnsi="Arial" w:cs="Arial"/>
          <w:b/>
          <w:szCs w:val="20"/>
        </w:rPr>
        <w:t>Vyplývá to z pravidelného průzkumu ČSOB</w:t>
      </w:r>
      <w:r>
        <w:rPr>
          <w:rFonts w:ascii="Arial" w:hAnsi="Arial" w:cs="Arial"/>
          <w:b/>
          <w:szCs w:val="20"/>
        </w:rPr>
        <w:t>,</w:t>
      </w:r>
      <w:r w:rsidRPr="00B01A2E">
        <w:rPr>
          <w:rFonts w:ascii="Arial" w:hAnsi="Arial" w:cs="Arial"/>
          <w:b/>
          <w:szCs w:val="20"/>
        </w:rPr>
        <w:t xml:space="preserve"> kter</w:t>
      </w:r>
      <w:r>
        <w:rPr>
          <w:rFonts w:ascii="Arial" w:hAnsi="Arial" w:cs="Arial"/>
          <w:b/>
          <w:szCs w:val="20"/>
        </w:rPr>
        <w:t>ý</w:t>
      </w:r>
      <w:r w:rsidRPr="00B01A2E">
        <w:rPr>
          <w:rFonts w:ascii="Arial" w:hAnsi="Arial" w:cs="Arial"/>
          <w:b/>
          <w:szCs w:val="20"/>
        </w:rPr>
        <w:t xml:space="preserve"> čtvrtletně zjišťuje </w:t>
      </w:r>
      <w:r>
        <w:rPr>
          <w:rFonts w:ascii="Arial" w:hAnsi="Arial" w:cs="Arial"/>
          <w:b/>
          <w:szCs w:val="20"/>
        </w:rPr>
        <w:t>náladu a</w:t>
      </w:r>
      <w:r w:rsidRPr="00B01A2E">
        <w:rPr>
          <w:rFonts w:ascii="Arial" w:hAnsi="Arial" w:cs="Arial"/>
          <w:b/>
          <w:szCs w:val="20"/>
        </w:rPr>
        <w:t xml:space="preserve"> plány sektoru SME v oblastech poptávky, investic a rozšiřování podnikání.</w:t>
      </w:r>
    </w:p>
    <w:p w:rsidR="00B01A2E" w:rsidRDefault="00A51B91" w:rsidP="00B01A2E">
      <w:pPr>
        <w:pStyle w:val="gmail-msonormal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i/>
          <w:iCs/>
        </w:rPr>
        <w:t>Optimismus v sektoru malých a středních firem vyplývá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z výborné celkové ekonomické situace v české ekonomice a hospodářské i finanční stability.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Otázkou je, jak dlouho se podobnou náladu podaří udržet, poněvadž</w:t>
      </w:r>
      <w:r>
        <w:t xml:space="preserve"> </w:t>
      </w:r>
      <w:r>
        <w:rPr>
          <w:rFonts w:ascii="Arial" w:hAnsi="Arial" w:cs="Arial"/>
          <w:i/>
          <w:iCs/>
        </w:rPr>
        <w:t xml:space="preserve">budeme svědky tlaku na marže českých podniků, které se budou snažit přilákat zaměstnance i s pomocí zvyšování mezd,“ </w:t>
      </w:r>
      <w:r w:rsidR="00B01A2E">
        <w:rPr>
          <w:rFonts w:ascii="Arial" w:hAnsi="Arial" w:cs="Arial"/>
          <w:szCs w:val="20"/>
        </w:rPr>
        <w:t xml:space="preserve">uvedl </w:t>
      </w:r>
      <w:r w:rsidR="00EE72C8">
        <w:rPr>
          <w:rFonts w:ascii="Arial" w:hAnsi="Arial" w:cs="Arial"/>
          <w:szCs w:val="20"/>
        </w:rPr>
        <w:t xml:space="preserve">Petr Manda, </w:t>
      </w:r>
      <w:r w:rsidR="00B01A2E" w:rsidRPr="00EC05F9">
        <w:rPr>
          <w:rFonts w:ascii="Arial" w:hAnsi="Arial" w:cs="Arial"/>
          <w:szCs w:val="20"/>
        </w:rPr>
        <w:t>výkonný ředitel út</w:t>
      </w:r>
      <w:r w:rsidR="00EE72C8">
        <w:rPr>
          <w:rFonts w:ascii="Arial" w:hAnsi="Arial" w:cs="Arial"/>
          <w:szCs w:val="20"/>
        </w:rPr>
        <w:t>varu Firemního bankovnictví ČSOB</w:t>
      </w:r>
      <w:bookmarkStart w:id="1" w:name="_GoBack"/>
      <w:bookmarkEnd w:id="1"/>
      <w:r w:rsidR="00B01A2E" w:rsidRPr="00EC05F9">
        <w:rPr>
          <w:rFonts w:ascii="Arial" w:hAnsi="Arial" w:cs="Arial"/>
          <w:szCs w:val="20"/>
        </w:rPr>
        <w:t>.</w:t>
      </w:r>
    </w:p>
    <w:p w:rsidR="00B01A2E" w:rsidRPr="00B01A2E" w:rsidRDefault="00B01A2E" w:rsidP="0069326E">
      <w:pPr>
        <w:pStyle w:val="gmail-msonormal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Hned</w:t>
      </w:r>
      <w:r w:rsidR="00F76E3B" w:rsidRPr="00B01A2E">
        <w:rPr>
          <w:rFonts w:ascii="Arial" w:hAnsi="Arial" w:cs="Arial"/>
          <w:szCs w:val="20"/>
        </w:rPr>
        <w:t xml:space="preserve"> 56 procent zástupců malých nebo středních firem a živnostníků </w:t>
      </w:r>
      <w:r w:rsidR="00854300" w:rsidRPr="00B01A2E">
        <w:rPr>
          <w:rFonts w:ascii="Arial" w:hAnsi="Arial" w:cs="Arial"/>
          <w:szCs w:val="20"/>
        </w:rPr>
        <w:t>říká</w:t>
      </w:r>
      <w:r>
        <w:rPr>
          <w:rFonts w:ascii="Arial" w:hAnsi="Arial" w:cs="Arial"/>
          <w:szCs w:val="20"/>
        </w:rPr>
        <w:t xml:space="preserve">, </w:t>
      </w:r>
      <w:r w:rsidR="00F76E3B" w:rsidRPr="00B01A2E">
        <w:rPr>
          <w:rFonts w:ascii="Arial" w:hAnsi="Arial" w:cs="Arial"/>
          <w:szCs w:val="20"/>
        </w:rPr>
        <w:t xml:space="preserve">že objem jejich investic za </w:t>
      </w:r>
      <w:r>
        <w:rPr>
          <w:rFonts w:ascii="Arial" w:hAnsi="Arial" w:cs="Arial"/>
          <w:szCs w:val="20"/>
        </w:rPr>
        <w:t xml:space="preserve">uplynulý rok </w:t>
      </w:r>
      <w:r w:rsidR="00854300" w:rsidRPr="00B01A2E">
        <w:rPr>
          <w:rFonts w:ascii="Arial" w:hAnsi="Arial" w:cs="Arial"/>
          <w:szCs w:val="20"/>
        </w:rPr>
        <w:t>byl</w:t>
      </w:r>
      <w:r w:rsidR="00F76E3B" w:rsidRPr="00B01A2E">
        <w:rPr>
          <w:rFonts w:ascii="Arial" w:hAnsi="Arial" w:cs="Arial"/>
          <w:szCs w:val="20"/>
        </w:rPr>
        <w:t xml:space="preserve"> vyšší než v roce předchozím. </w:t>
      </w:r>
      <w:r w:rsidR="00854300" w:rsidRPr="00B01A2E">
        <w:rPr>
          <w:rFonts w:ascii="Arial" w:hAnsi="Arial" w:cs="Arial"/>
          <w:szCs w:val="20"/>
        </w:rPr>
        <w:t>Mezi</w:t>
      </w:r>
      <w:r w:rsidR="00E55812">
        <w:rPr>
          <w:rFonts w:ascii="Arial" w:hAnsi="Arial" w:cs="Arial"/>
          <w:szCs w:val="20"/>
        </w:rPr>
        <w:t xml:space="preserve">čtvrtletně </w:t>
      </w:r>
      <w:r w:rsidR="00854300" w:rsidRPr="00B01A2E">
        <w:rPr>
          <w:rFonts w:ascii="Arial" w:hAnsi="Arial" w:cs="Arial"/>
          <w:szCs w:val="20"/>
        </w:rPr>
        <w:t xml:space="preserve">stoupl podíl podnikatelů vykazujících meziroční růst objemu investic o čtrnáct procentních bodů. </w:t>
      </w:r>
      <w:r w:rsidR="0069326E">
        <w:rPr>
          <w:rFonts w:ascii="Arial" w:hAnsi="Arial" w:cs="Arial"/>
          <w:szCs w:val="20"/>
        </w:rPr>
        <w:t>Naproti tomu je</w:t>
      </w:r>
      <w:r w:rsidR="00BD441A">
        <w:rPr>
          <w:rFonts w:ascii="Arial" w:hAnsi="Arial" w:cs="Arial"/>
          <w:szCs w:val="20"/>
        </w:rPr>
        <w:t>n</w:t>
      </w:r>
      <w:r w:rsidR="0069326E">
        <w:rPr>
          <w:rFonts w:ascii="Arial" w:hAnsi="Arial" w:cs="Arial"/>
          <w:szCs w:val="20"/>
        </w:rPr>
        <w:t xml:space="preserve"> pětina oznámila meziroční investiční útlum. </w:t>
      </w:r>
      <w:r>
        <w:rPr>
          <w:rFonts w:ascii="Arial" w:hAnsi="Arial" w:cs="Arial"/>
        </w:rPr>
        <w:t>„</w:t>
      </w:r>
      <w:r w:rsidRPr="00B01A2E">
        <w:rPr>
          <w:rFonts w:ascii="Arial" w:hAnsi="Arial" w:cs="Arial"/>
          <w:i/>
        </w:rPr>
        <w:t xml:space="preserve">Skutečnost, že více než polovina podnikatelů hlásí </w:t>
      </w:r>
      <w:r>
        <w:rPr>
          <w:rFonts w:ascii="Arial" w:hAnsi="Arial" w:cs="Arial"/>
          <w:i/>
        </w:rPr>
        <w:t>ná</w:t>
      </w:r>
      <w:r w:rsidRPr="00B01A2E">
        <w:rPr>
          <w:rFonts w:ascii="Arial" w:hAnsi="Arial" w:cs="Arial"/>
          <w:i/>
        </w:rPr>
        <w:t xml:space="preserve">růst </w:t>
      </w:r>
      <w:r>
        <w:rPr>
          <w:rFonts w:ascii="Arial" w:hAnsi="Arial" w:cs="Arial"/>
          <w:i/>
        </w:rPr>
        <w:t xml:space="preserve">svých </w:t>
      </w:r>
      <w:r w:rsidRPr="00B01A2E">
        <w:rPr>
          <w:rFonts w:ascii="Arial" w:hAnsi="Arial" w:cs="Arial"/>
          <w:i/>
        </w:rPr>
        <w:t>investic</w:t>
      </w:r>
      <w:r>
        <w:rPr>
          <w:rFonts w:ascii="Arial" w:hAnsi="Arial" w:cs="Arial"/>
          <w:i/>
        </w:rPr>
        <w:t xml:space="preserve">, je v období stále ještě výhodných úrokových sazeb velmi potěšující zprávou. Je ale nepochybné, že éra levných peněz </w:t>
      </w:r>
      <w:r w:rsidR="00E55812">
        <w:rPr>
          <w:rFonts w:ascii="Arial" w:hAnsi="Arial" w:cs="Arial"/>
          <w:i/>
        </w:rPr>
        <w:t>směřuje</w:t>
      </w:r>
      <w:r>
        <w:rPr>
          <w:rFonts w:ascii="Arial" w:hAnsi="Arial" w:cs="Arial"/>
          <w:i/>
        </w:rPr>
        <w:t xml:space="preserve"> </w:t>
      </w:r>
      <w:r w:rsidR="00E55812">
        <w:rPr>
          <w:rFonts w:ascii="Arial" w:hAnsi="Arial" w:cs="Arial"/>
          <w:i/>
        </w:rPr>
        <w:t>ke</w:t>
      </w:r>
      <w:r>
        <w:rPr>
          <w:rFonts w:ascii="Arial" w:hAnsi="Arial" w:cs="Arial"/>
          <w:i/>
        </w:rPr>
        <w:t xml:space="preserve"> konc</w:t>
      </w:r>
      <w:r w:rsidR="00E55812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,“ </w:t>
      </w:r>
      <w:r w:rsidR="005647FC">
        <w:rPr>
          <w:rFonts w:ascii="Arial" w:hAnsi="Arial" w:cs="Arial"/>
        </w:rPr>
        <w:t>poukázal</w:t>
      </w:r>
      <w:r w:rsidRPr="00B01A2E">
        <w:rPr>
          <w:rFonts w:ascii="Arial" w:hAnsi="Arial" w:cs="Arial"/>
        </w:rPr>
        <w:t xml:space="preserve"> Petr Manda.</w:t>
      </w:r>
      <w:r w:rsidR="000C65E7">
        <w:rPr>
          <w:rFonts w:ascii="Arial" w:hAnsi="Arial" w:cs="Arial"/>
        </w:rPr>
        <w:t xml:space="preserve"> </w:t>
      </w:r>
    </w:p>
    <w:p w:rsidR="00B01A2E" w:rsidRPr="000C65E7" w:rsidRDefault="0069326E" w:rsidP="0092310A">
      <w:pPr>
        <w:pStyle w:val="gmail-msonormal"/>
        <w:jc w:val="both"/>
        <w:rPr>
          <w:rFonts w:ascii="Arial" w:hAnsi="Arial" w:cs="Arial"/>
          <w:i/>
        </w:rPr>
      </w:pPr>
      <w:r w:rsidRPr="0069326E">
        <w:rPr>
          <w:rFonts w:ascii="Arial" w:hAnsi="Arial" w:cs="Arial"/>
        </w:rPr>
        <w:t xml:space="preserve">Zvýšení poptávky pro první čtvrtletí </w:t>
      </w:r>
      <w:r w:rsidR="00BD441A">
        <w:rPr>
          <w:rFonts w:ascii="Arial" w:hAnsi="Arial" w:cs="Arial"/>
        </w:rPr>
        <w:t xml:space="preserve">letošního </w:t>
      </w:r>
      <w:r w:rsidR="00E55812" w:rsidRPr="0069326E">
        <w:rPr>
          <w:rFonts w:ascii="Arial" w:hAnsi="Arial" w:cs="Arial"/>
        </w:rPr>
        <w:t xml:space="preserve">roku </w:t>
      </w:r>
      <w:r w:rsidR="000C65E7">
        <w:rPr>
          <w:rFonts w:ascii="Arial" w:hAnsi="Arial" w:cs="Arial"/>
        </w:rPr>
        <w:t>predikuje</w:t>
      </w:r>
      <w:r w:rsidRPr="0069326E">
        <w:rPr>
          <w:rFonts w:ascii="Arial" w:hAnsi="Arial" w:cs="Arial"/>
        </w:rPr>
        <w:t xml:space="preserve"> </w:t>
      </w:r>
      <w:r w:rsidR="00BD441A">
        <w:rPr>
          <w:rFonts w:ascii="Arial" w:hAnsi="Arial" w:cs="Arial"/>
        </w:rPr>
        <w:t>polovina</w:t>
      </w:r>
      <w:r w:rsidRPr="0069326E">
        <w:rPr>
          <w:rFonts w:ascii="Arial" w:hAnsi="Arial" w:cs="Arial"/>
        </w:rPr>
        <w:t xml:space="preserve"> zástupců živnostníků a malých či středně velkých firem, což představuje nárůst o </w:t>
      </w:r>
      <w:r w:rsidR="00BD441A">
        <w:rPr>
          <w:rFonts w:ascii="Arial" w:hAnsi="Arial" w:cs="Arial"/>
        </w:rPr>
        <w:t>osm</w:t>
      </w:r>
      <w:r w:rsidRPr="0069326E">
        <w:rPr>
          <w:rFonts w:ascii="Arial" w:hAnsi="Arial" w:cs="Arial"/>
        </w:rPr>
        <w:t xml:space="preserve"> procentních bodů oproti předchozímu šetření.</w:t>
      </w:r>
      <w:r w:rsidR="00BD441A">
        <w:rPr>
          <w:rFonts w:ascii="Arial" w:hAnsi="Arial" w:cs="Arial"/>
        </w:rPr>
        <w:t xml:space="preserve"> </w:t>
      </w:r>
      <w:r w:rsidR="00A51B91">
        <w:rPr>
          <w:rFonts w:ascii="Arial" w:hAnsi="Arial" w:cs="Arial"/>
          <w:i/>
          <w:iCs/>
        </w:rPr>
        <w:t>„Z historických dat vyplývá, že nejpesimističtější odhady objemu poptávky jsou nasbírány vždy ve čtvrtém kvartálu příslušného roku. Aktuální průzkum ukazuje porušení tohoto pravidelného cyklu, což koresponduje se zprávami o velmi dobrém stavu ekonomiky,</w:t>
      </w:r>
      <w:r w:rsidR="00A51B91">
        <w:rPr>
          <w:i/>
          <w:iCs/>
        </w:rPr>
        <w:t>“</w:t>
      </w:r>
      <w:r w:rsidR="000C65E7">
        <w:rPr>
          <w:rFonts w:ascii="Arial" w:hAnsi="Arial" w:cs="Arial"/>
          <w:i/>
        </w:rPr>
        <w:t xml:space="preserve"> </w:t>
      </w:r>
      <w:r w:rsidR="005647FC">
        <w:rPr>
          <w:rFonts w:ascii="Arial" w:hAnsi="Arial" w:cs="Arial"/>
        </w:rPr>
        <w:t xml:space="preserve">doplnil </w:t>
      </w:r>
      <w:r w:rsidR="000C65E7" w:rsidRPr="000C65E7">
        <w:rPr>
          <w:rFonts w:ascii="Arial" w:hAnsi="Arial" w:cs="Arial"/>
        </w:rPr>
        <w:t>Petr Manda.</w:t>
      </w:r>
    </w:p>
    <w:p w:rsidR="00B01A2E" w:rsidRDefault="000C65E7" w:rsidP="0092310A">
      <w:pPr>
        <w:pStyle w:val="gmail-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Rozšířit podnikání podle průzkumu plánuje v horizontu jednoho roku čtvrtina oslovených podnikatel</w:t>
      </w:r>
      <w:r w:rsidR="00E5581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a firem, což bylo mezikvartálně více o pět procentních bodů. Naproti tomu jen necelých pět procent </w:t>
      </w:r>
      <w:r w:rsidRPr="000C65E7">
        <w:rPr>
          <w:rFonts w:ascii="Arial" w:hAnsi="Arial" w:cs="Arial"/>
        </w:rPr>
        <w:t>podnikatelů uvažuje o omezení, př</w:t>
      </w:r>
      <w:r>
        <w:rPr>
          <w:rFonts w:ascii="Arial" w:hAnsi="Arial" w:cs="Arial"/>
        </w:rPr>
        <w:t>erušení nebo ukončení podnikání.</w:t>
      </w:r>
    </w:p>
    <w:p w:rsidR="000C65E7" w:rsidRPr="000C65E7" w:rsidRDefault="000C65E7" w:rsidP="000C65E7">
      <w:pPr>
        <w:pStyle w:val="gmail-msonormal"/>
        <w:jc w:val="center"/>
        <w:rPr>
          <w:rFonts w:ascii="Arial" w:hAnsi="Arial" w:cs="Arial"/>
          <w:b/>
          <w:i/>
          <w:u w:val="single"/>
        </w:rPr>
      </w:pPr>
      <w:r w:rsidRPr="000C65E7">
        <w:rPr>
          <w:rFonts w:ascii="Arial" w:hAnsi="Arial" w:cs="Arial"/>
          <w:b/>
          <w:i/>
          <w:u w:val="single"/>
        </w:rPr>
        <w:lastRenderedPageBreak/>
        <w:t>Index očekávání firem a jeho tři složky</w:t>
      </w:r>
    </w:p>
    <w:p w:rsidR="000C65E7" w:rsidRDefault="000C65E7" w:rsidP="000C65E7">
      <w:pPr>
        <w:pStyle w:val="gmail-msonormal"/>
        <w:ind w:left="-1134" w:right="-851"/>
        <w:jc w:val="both"/>
        <w:rPr>
          <w:rFonts w:ascii="Arial" w:hAnsi="Arial" w:cs="Arial"/>
        </w:rPr>
      </w:pPr>
      <w:r w:rsidRPr="000C65E7">
        <w:rPr>
          <w:rFonts w:ascii="Arial" w:hAnsi="Arial" w:cs="Arial"/>
          <w:noProof/>
        </w:rPr>
        <w:drawing>
          <wp:inline distT="0" distB="0" distL="0" distR="0" wp14:anchorId="71BA6A60" wp14:editId="178FE05C">
            <wp:extent cx="7178400" cy="3614400"/>
            <wp:effectExtent l="0" t="0" r="0" b="0"/>
            <wp:docPr id="10" name="Graf 10">
              <a:extLst xmlns:a="http://schemas.openxmlformats.org/drawingml/2006/main">
                <a:ext uri="{FF2B5EF4-FFF2-40B4-BE49-F238E27FC236}"/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2C8E" w:rsidRDefault="00172C8E" w:rsidP="0092310A">
      <w:pPr>
        <w:pStyle w:val="gmail-msonormal"/>
        <w:jc w:val="both"/>
        <w:rPr>
          <w:rFonts w:ascii="Arial" w:hAnsi="Arial" w:cs="Arial"/>
        </w:rPr>
      </w:pPr>
      <w:r w:rsidRPr="00172C8E">
        <w:rPr>
          <w:rFonts w:ascii="Arial" w:hAnsi="Arial" w:cs="Arial"/>
        </w:rPr>
        <w:t>Se současnou ekonomickou situací j</w:t>
      </w:r>
      <w:r>
        <w:rPr>
          <w:rFonts w:ascii="Arial" w:hAnsi="Arial" w:cs="Arial"/>
        </w:rPr>
        <w:t>sou</w:t>
      </w:r>
      <w:r w:rsidRPr="00172C8E">
        <w:rPr>
          <w:rFonts w:ascii="Arial" w:hAnsi="Arial" w:cs="Arial"/>
        </w:rPr>
        <w:t xml:space="preserve"> spokojen</w:t>
      </w:r>
      <w:r>
        <w:rPr>
          <w:rFonts w:ascii="Arial" w:hAnsi="Arial" w:cs="Arial"/>
        </w:rPr>
        <w:t xml:space="preserve">y tři čtvrtiny </w:t>
      </w:r>
      <w:r w:rsidRPr="00172C8E">
        <w:rPr>
          <w:rFonts w:ascii="Arial" w:hAnsi="Arial" w:cs="Arial"/>
        </w:rPr>
        <w:t xml:space="preserve">oslovených malých a středních živnostníků a zástupců firem, což je zatím nejvíce </w:t>
      </w:r>
      <w:r w:rsidR="005647FC">
        <w:rPr>
          <w:rFonts w:ascii="Arial" w:hAnsi="Arial" w:cs="Arial"/>
        </w:rPr>
        <w:t>za dobu</w:t>
      </w:r>
      <w:r w:rsidRPr="00172C8E">
        <w:rPr>
          <w:rFonts w:ascii="Arial" w:hAnsi="Arial" w:cs="Arial"/>
        </w:rPr>
        <w:t xml:space="preserve"> sledování. Takřka 15 </w:t>
      </w:r>
      <w:r>
        <w:rPr>
          <w:rFonts w:ascii="Arial" w:hAnsi="Arial" w:cs="Arial"/>
        </w:rPr>
        <w:t>procent</w:t>
      </w:r>
      <w:r w:rsidRPr="00172C8E">
        <w:rPr>
          <w:rFonts w:ascii="Arial" w:hAnsi="Arial" w:cs="Arial"/>
        </w:rPr>
        <w:t xml:space="preserve"> z těchto podnikatelů je s ekonomickou situací ČR spokojena rozhodně.</w:t>
      </w:r>
      <w:r w:rsidRPr="00172C8E">
        <w:t xml:space="preserve"> </w:t>
      </w:r>
      <w:r w:rsidRPr="00172C8E">
        <w:rPr>
          <w:rFonts w:ascii="Arial" w:hAnsi="Arial" w:cs="Arial"/>
        </w:rPr>
        <w:t>Spokojenost s ekonomickou situ</w:t>
      </w:r>
      <w:r>
        <w:rPr>
          <w:rFonts w:ascii="Arial" w:hAnsi="Arial" w:cs="Arial"/>
        </w:rPr>
        <w:t>ací v ČR mezi</w:t>
      </w:r>
      <w:r w:rsidRPr="00172C8E">
        <w:rPr>
          <w:rFonts w:ascii="Arial" w:hAnsi="Arial" w:cs="Arial"/>
        </w:rPr>
        <w:t>kvartálně vzrostla o šest procentních bodů.</w:t>
      </w:r>
    </w:p>
    <w:p w:rsidR="002359C7" w:rsidRPr="002359C7" w:rsidRDefault="002359C7" w:rsidP="00FA6C31">
      <w:pPr>
        <w:jc w:val="both"/>
        <w:rPr>
          <w:rFonts w:cstheme="minorHAnsi"/>
        </w:rPr>
      </w:pPr>
    </w:p>
    <w:p w:rsidR="00FA6C31" w:rsidRPr="004712E6" w:rsidRDefault="00FA6C31" w:rsidP="00FA6C31">
      <w:pPr>
        <w:pStyle w:val="kontakt"/>
        <w:spacing w:after="80"/>
        <w:jc w:val="both"/>
        <w:outlineLvl w:val="0"/>
        <w:rPr>
          <w:rFonts w:ascii="Arial" w:hAnsi="Arial" w:cs="Arial"/>
          <w:b/>
          <w:u w:val="single"/>
        </w:rPr>
      </w:pPr>
      <w:r w:rsidRPr="004712E6">
        <w:rPr>
          <w:rFonts w:ascii="Arial" w:hAnsi="Arial" w:cs="Arial"/>
          <w:b/>
          <w:u w:val="single"/>
        </w:rPr>
        <w:t>Kontakt pro média:</w:t>
      </w:r>
    </w:p>
    <w:p w:rsidR="00FA6C31" w:rsidRPr="004712E6" w:rsidRDefault="00FA6C31" w:rsidP="00FA6C31">
      <w:pPr>
        <w:pStyle w:val="kontaktbez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Patrik Madle</w:t>
      </w:r>
    </w:p>
    <w:p w:rsidR="00FA6C31" w:rsidRPr="004712E6" w:rsidRDefault="00FA6C31" w:rsidP="00FA6C31">
      <w:pPr>
        <w:pStyle w:val="kontaktbez"/>
        <w:jc w:val="both"/>
        <w:outlineLvl w:val="0"/>
        <w:rPr>
          <w:rFonts w:ascii="Arial" w:hAnsi="Arial" w:cs="Arial"/>
        </w:rPr>
      </w:pPr>
      <w:r w:rsidRPr="004712E6">
        <w:rPr>
          <w:rFonts w:ascii="Arial" w:hAnsi="Arial" w:cs="Arial"/>
        </w:rPr>
        <w:t xml:space="preserve">mluvčí ČSOB </w:t>
      </w:r>
    </w:p>
    <w:p w:rsidR="00FA6C31" w:rsidRPr="002F29C6" w:rsidRDefault="00FA6C31" w:rsidP="00FA6C31">
      <w:pPr>
        <w:pStyle w:val="kontaktbez"/>
        <w:jc w:val="both"/>
        <w:rPr>
          <w:rFonts w:ascii="Arial" w:hAnsi="Arial" w:cs="Arial"/>
        </w:rPr>
      </w:pPr>
      <w:r>
        <w:rPr>
          <w:rFonts w:ascii="Arial" w:hAnsi="Arial" w:cs="Arial"/>
        </w:rPr>
        <w:t>patrik.madle</w:t>
      </w:r>
      <w:hyperlink r:id="rId8" w:history="1">
        <w:r w:rsidRPr="004712E6">
          <w:rPr>
            <w:rStyle w:val="Hypertextovodkaz"/>
            <w:rFonts w:ascii="Arial" w:eastAsia="Calibri" w:hAnsi="Arial" w:cs="Arial"/>
          </w:rPr>
          <w:t>@csob.cz</w:t>
        </w:r>
      </w:hyperlink>
      <w:r>
        <w:rPr>
          <w:rFonts w:ascii="Arial" w:hAnsi="Arial" w:cs="Arial"/>
        </w:rPr>
        <w:t xml:space="preserve">; </w:t>
      </w:r>
      <w:r w:rsidRPr="004712E6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602 530 639</w:t>
      </w:r>
    </w:p>
    <w:p w:rsidR="006C6925" w:rsidRDefault="006C6925" w:rsidP="00154963">
      <w:pPr>
        <w:jc w:val="both"/>
        <w:rPr>
          <w:color w:val="000000"/>
        </w:rPr>
      </w:pPr>
    </w:p>
    <w:p w:rsidR="005647FC" w:rsidRDefault="005647FC" w:rsidP="005647FC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Průzkum </w:t>
      </w:r>
      <w:hyperlink r:id="rId9" w:history="1">
        <w:r>
          <w:rPr>
            <w:rStyle w:val="Hypertextovodkaz"/>
            <w:b/>
            <w:i/>
            <w:color w:val="0000FF"/>
            <w:sz w:val="18"/>
            <w:szCs w:val="18"/>
            <w:u w:val="single"/>
          </w:rPr>
          <w:t>Index očekávání firem</w:t>
        </w:r>
      </w:hyperlink>
      <w:r>
        <w:rPr>
          <w:i/>
          <w:sz w:val="18"/>
          <w:szCs w:val="18"/>
        </w:rPr>
        <w:t xml:space="preserve"> zahrnuje 500 středních a malých společností napříč obory podnikání. Každý z dílčích indexů, který je rozdílem pozitivních a negativních očekávání firem, může nabývat hodnot od -100 do +100 bodů. Celkový index je pak průměrem dílčích indexů vývoje poptávky, investic a rozšiřování podnikání. Index očekávání firem ČSOB sleduje od roku 2013.</w:t>
      </w:r>
    </w:p>
    <w:p w:rsidR="002B3222" w:rsidRPr="002F29C6" w:rsidRDefault="002B3222" w:rsidP="002F29C6">
      <w:pPr>
        <w:pStyle w:val="kontaktbez"/>
        <w:jc w:val="both"/>
        <w:rPr>
          <w:rFonts w:ascii="Arial" w:hAnsi="Arial" w:cs="Arial"/>
        </w:rPr>
      </w:pPr>
    </w:p>
    <w:sectPr w:rsidR="002B3222" w:rsidRPr="002F29C6" w:rsidSect="00425BAD">
      <w:headerReference w:type="default" r:id="rId10"/>
      <w:footerReference w:type="default" r:id="rId11"/>
      <w:pgSz w:w="11906" w:h="16838"/>
      <w:pgMar w:top="1276" w:right="1417" w:bottom="2977" w:left="1417" w:header="1134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50" w:rsidRDefault="005B2550" w:rsidP="0023390A">
      <w:pPr>
        <w:spacing w:line="240" w:lineRule="auto"/>
      </w:pPr>
      <w:r>
        <w:separator/>
      </w:r>
    </w:p>
  </w:endnote>
  <w:endnote w:type="continuationSeparator" w:id="0">
    <w:p w:rsidR="005B2550" w:rsidRDefault="005B2550" w:rsidP="00233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0B" w:rsidRPr="00BD00DD" w:rsidRDefault="00604A7B" w:rsidP="006C6925">
    <w:pPr>
      <w:pStyle w:val="Zpat"/>
      <w:tabs>
        <w:tab w:val="clear" w:pos="9072"/>
      </w:tabs>
      <w:spacing w:line="180" w:lineRule="atLeast"/>
      <w:ind w:left="1435"/>
      <w:jc w:val="both"/>
    </w:pPr>
    <w:r>
      <w:rPr>
        <w:noProof/>
        <w:color w:val="333333"/>
        <w:sz w:val="13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44B07" wp14:editId="610F51E3">
              <wp:simplePos x="0" y="0"/>
              <wp:positionH relativeFrom="page">
                <wp:posOffset>6455410</wp:posOffset>
              </wp:positionH>
              <wp:positionV relativeFrom="page">
                <wp:posOffset>10081260</wp:posOffset>
              </wp:positionV>
              <wp:extent cx="514350" cy="209550"/>
              <wp:effectExtent l="0" t="0" r="1143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B0B" w:rsidRDefault="00B10B0B" w:rsidP="0023390A">
                          <w:pPr>
                            <w:pStyle w:val="Zapati2"/>
                          </w:pPr>
                          <w:r>
                            <w:t xml:space="preserve">strana </w:t>
                          </w:r>
                          <w:r w:rsidR="00A466B7">
                            <w:fldChar w:fldCharType="begin"/>
                          </w:r>
                          <w:r w:rsidR="00DE7053">
                            <w:instrText xml:space="preserve"> PAGE   \* MERGEFORMAT </w:instrText>
                          </w:r>
                          <w:r w:rsidR="00A466B7">
                            <w:fldChar w:fldCharType="separate"/>
                          </w:r>
                          <w:r w:rsidR="00EE72C8">
                            <w:rPr>
                              <w:noProof/>
                            </w:rPr>
                            <w:t>1</w:t>
                          </w:r>
                          <w:r w:rsidR="00A466B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 </w:t>
                          </w:r>
                          <w:fldSimple w:instr=" NUMPAGES   \* MERGEFORMAT ">
                            <w:r w:rsidR="00EE72C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44B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8.3pt;margin-top:793.8pt;width:40.5pt;height:16.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SQqQIAAKY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" filled="f" stroked="f">
              <v:textbox inset="0,0,0,0">
                <w:txbxContent>
                  <w:p w:rsidR="00B10B0B" w:rsidRDefault="00B10B0B" w:rsidP="0023390A">
                    <w:pPr>
                      <w:pStyle w:val="Zapati2"/>
                    </w:pPr>
                    <w:r>
                      <w:t xml:space="preserve">strana </w:t>
                    </w:r>
                    <w:r w:rsidR="00A466B7">
                      <w:fldChar w:fldCharType="begin"/>
                    </w:r>
                    <w:r w:rsidR="00DE7053">
                      <w:instrText xml:space="preserve"> PAGE   \* MERGEFORMAT </w:instrText>
                    </w:r>
                    <w:r w:rsidR="00A466B7">
                      <w:fldChar w:fldCharType="separate"/>
                    </w:r>
                    <w:r w:rsidR="00EE72C8">
                      <w:rPr>
                        <w:noProof/>
                      </w:rPr>
                      <w:t>1</w:t>
                    </w:r>
                    <w:r w:rsidR="00A466B7">
                      <w:rPr>
                        <w:noProof/>
                      </w:rPr>
                      <w:fldChar w:fldCharType="end"/>
                    </w:r>
                    <w:r>
                      <w:t xml:space="preserve"> z </w:t>
                    </w:r>
                    <w:fldSimple w:instr=" NUMPAGES   \* MERGEFORMAT ">
                      <w:r w:rsidR="00EE72C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333333"/>
        <w:sz w:val="13"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3C56588" wp14:editId="66D4D3BE">
              <wp:simplePos x="0" y="0"/>
              <wp:positionH relativeFrom="page">
                <wp:posOffset>3283585</wp:posOffset>
              </wp:positionH>
              <wp:positionV relativeFrom="page">
                <wp:posOffset>10081260</wp:posOffset>
              </wp:positionV>
              <wp:extent cx="993140" cy="209550"/>
              <wp:effectExtent l="0" t="0" r="165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B0B" w:rsidRDefault="00B10B0B" w:rsidP="0023390A">
                          <w:pPr>
                            <w:pStyle w:val="Zapati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ČSOB – Tisková zpráva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56588" id="Text Box 2" o:spid="_x0000_s1027" type="#_x0000_t202" style="position:absolute;left:0;text-align:left;margin-left:258.55pt;margin-top:793.8pt;width:78.2pt;height:16.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" filled="f" stroked="f">
              <v:textbox inset="0,0,0,0">
                <w:txbxContent>
                  <w:p w:rsidR="00B10B0B" w:rsidRDefault="00B10B0B" w:rsidP="0023390A">
                    <w:pPr>
                      <w:pStyle w:val="Zapati2"/>
                      <w:rPr>
                        <w:b/>
                      </w:rPr>
                    </w:pPr>
                    <w:r>
                      <w:rPr>
                        <w:b/>
                      </w:rPr>
                      <w:t>ČSOB – 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10B0B" w:rsidRPr="0023390A">
      <w:rPr>
        <w:noProof/>
        <w:color w:val="333333"/>
        <w:sz w:val="13"/>
        <w:lang w:eastAsia="cs-CZ"/>
      </w:rPr>
      <w:t xml:space="preserve">Skupina ČSOB </w:t>
    </w:r>
    <w:r w:rsidR="00B10B0B" w:rsidRPr="0023390A">
      <w:rPr>
        <w:noProof/>
        <w:color w:val="333333"/>
        <w:sz w:val="13"/>
        <w:lang w:eastAsia="cs-CZ"/>
      </w:rPr>
      <w:drawing>
        <wp:anchor distT="0" distB="0" distL="114300" distR="114300" simplePos="0" relativeHeight="251664384" behindDoc="1" locked="1" layoutInCell="1" allowOverlap="1" wp14:anchorId="0DCC08DA" wp14:editId="677C4B17">
          <wp:simplePos x="0" y="0"/>
          <wp:positionH relativeFrom="page">
            <wp:posOffset>333375</wp:posOffset>
          </wp:positionH>
          <wp:positionV relativeFrom="page">
            <wp:posOffset>9124950</wp:posOffset>
          </wp:positionV>
          <wp:extent cx="6890385" cy="1228725"/>
          <wp:effectExtent l="19050" t="0" r="5715" b="0"/>
          <wp:wrapNone/>
          <wp:docPr id="28" name="obrázek 8" descr="csob_logo_ca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sob_logo_cara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0B0B" w:rsidRPr="0023390A">
      <w:rPr>
        <w:noProof/>
        <w:color w:val="333333"/>
        <w:sz w:val="13"/>
        <w:lang w:eastAsia="cs-CZ"/>
      </w:rPr>
      <w:t>je vedoucím hráčem na trhu finančních služeb v České republice. Skupina ČSOB je součástí mezinárodní bankopojišťovací skupiny KBC, která aktivně působí především v Belgii a v regionu střední a východní Evropy. Skupina ČSOB je tvořena bankou (působí pod obchodními značkami – ČSOB, Era a Poštovní spořitelna) a společnostmi, s nimiž je banka propojena. Finanční skupina ČSOB zahrnuje strategické společnosti v ČR ovládané přímo či nepřímo ČSOB, případně KBC, které nabízejí finanční služby, a to Hypoteční banku, ČSOB Pojišťovnu, Českomoravskou stavební spořitelnu, ČSOB Penzijní společnost, ČSOB Leasing, ČSOB Asset Management, ČSOB Factoring a skupinu Patria. Své služby skupina ČSOB poskytuje všem typům zákazníků, a to jak fyzickým osobám, tak malým a středním podnikům, korporátní a institucionální klientele. Skupina ČSOB pečlivě naslouchá potřebám svých klientů a nabízí jim nikoliv produkty, ale nejvhodnější řešení.</w:t>
    </w:r>
  </w:p>
  <w:p w:rsidR="00B10B0B" w:rsidRDefault="00B10B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50" w:rsidRDefault="005B2550" w:rsidP="0023390A">
      <w:pPr>
        <w:spacing w:line="240" w:lineRule="auto"/>
      </w:pPr>
      <w:r>
        <w:separator/>
      </w:r>
    </w:p>
  </w:footnote>
  <w:footnote w:type="continuationSeparator" w:id="0">
    <w:p w:rsidR="005B2550" w:rsidRDefault="005B2550" w:rsidP="00233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0B" w:rsidRDefault="0055136C" w:rsidP="0023390A">
    <w:pPr>
      <w:pStyle w:val="Zhlav"/>
      <w:rPr>
        <w:color w:val="7F7F7F" w:themeColor="text1" w:themeTint="80"/>
        <w:sz w:val="17"/>
        <w:szCs w:val="17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4720B213" wp14:editId="4C5C4F1B">
          <wp:simplePos x="0" y="0"/>
          <wp:positionH relativeFrom="column">
            <wp:posOffset>2977515</wp:posOffset>
          </wp:positionH>
          <wp:positionV relativeFrom="paragraph">
            <wp:posOffset>31750</wp:posOffset>
          </wp:positionV>
          <wp:extent cx="648335" cy="648335"/>
          <wp:effectExtent l="0" t="0" r="0" b="0"/>
          <wp:wrapTight wrapText="bothSides">
            <wp:wrapPolygon edited="0">
              <wp:start x="5712" y="0"/>
              <wp:lineTo x="0" y="3808"/>
              <wp:lineTo x="0" y="15867"/>
              <wp:lineTo x="4443" y="20310"/>
              <wp:lineTo x="5712" y="20944"/>
              <wp:lineTo x="15232" y="20944"/>
              <wp:lineTo x="16501" y="20310"/>
              <wp:lineTo x="20944" y="15867"/>
              <wp:lineTo x="20944" y="3808"/>
              <wp:lineTo x="15232" y="0"/>
              <wp:lineTo x="5712" y="0"/>
            </wp:wrapPolygon>
          </wp:wrapTight>
          <wp:docPr id="9" name="Obrázek 9" descr="NB_razitko_Nejlepsi-banka_2017_1-mist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_razitko_Nejlepsi-banka_2017_1-mist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0C538E3C" wp14:editId="7C845BF3">
          <wp:simplePos x="0" y="0"/>
          <wp:positionH relativeFrom="column">
            <wp:posOffset>3606800</wp:posOffset>
          </wp:positionH>
          <wp:positionV relativeFrom="paragraph">
            <wp:posOffset>19685</wp:posOffset>
          </wp:positionV>
          <wp:extent cx="657225" cy="659130"/>
          <wp:effectExtent l="0" t="0" r="9525" b="7620"/>
          <wp:wrapTight wrapText="bothSides">
            <wp:wrapPolygon edited="0">
              <wp:start x="6261" y="0"/>
              <wp:lineTo x="0" y="3121"/>
              <wp:lineTo x="0" y="15607"/>
              <wp:lineTo x="3130" y="19977"/>
              <wp:lineTo x="5635" y="21225"/>
              <wp:lineTo x="15652" y="21225"/>
              <wp:lineTo x="18157" y="19977"/>
              <wp:lineTo x="21287" y="15607"/>
              <wp:lineTo x="21287" y="3121"/>
              <wp:lineTo x="15026" y="0"/>
              <wp:lineTo x="6261" y="0"/>
            </wp:wrapPolygon>
          </wp:wrapTight>
          <wp:docPr id="8" name="Obrázek 8" descr="NB_razitko_Nejlepsi-zivotni-pojistovna_2017_1-mist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B_razitko_Nejlepsi-zivotni-pojistovna_2017_1-misto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CC87667" wp14:editId="31735ACF">
          <wp:simplePos x="0" y="0"/>
          <wp:positionH relativeFrom="column">
            <wp:posOffset>4242435</wp:posOffset>
          </wp:positionH>
          <wp:positionV relativeFrom="paragraph">
            <wp:posOffset>9525</wp:posOffset>
          </wp:positionV>
          <wp:extent cx="667385" cy="669290"/>
          <wp:effectExtent l="0" t="0" r="0" b="0"/>
          <wp:wrapTight wrapText="bothSides">
            <wp:wrapPolygon edited="0">
              <wp:start x="6166" y="0"/>
              <wp:lineTo x="0" y="3074"/>
              <wp:lineTo x="0" y="15370"/>
              <wp:lineTo x="3083" y="19674"/>
              <wp:lineTo x="5549" y="20903"/>
              <wp:lineTo x="15414" y="20903"/>
              <wp:lineTo x="17880" y="19674"/>
              <wp:lineTo x="20963" y="15370"/>
              <wp:lineTo x="20963" y="3074"/>
              <wp:lineTo x="14797" y="0"/>
              <wp:lineTo x="6166" y="0"/>
            </wp:wrapPolygon>
          </wp:wrapTight>
          <wp:docPr id="4" name="Obrázek 4" descr="NB_razitko_Bankovni-inovator_2017_1-mist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B_razitko_Bankovni-inovator_2017_1-misto_C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316F87C0" wp14:editId="1EB78E58">
          <wp:simplePos x="0" y="0"/>
          <wp:positionH relativeFrom="column">
            <wp:posOffset>4875530</wp:posOffset>
          </wp:positionH>
          <wp:positionV relativeFrom="paragraph">
            <wp:posOffset>31750</wp:posOffset>
          </wp:positionV>
          <wp:extent cx="644525" cy="647065"/>
          <wp:effectExtent l="0" t="0" r="3175" b="635"/>
          <wp:wrapTight wrapText="bothSides">
            <wp:wrapPolygon edited="0">
              <wp:start x="5746" y="0"/>
              <wp:lineTo x="0" y="3816"/>
              <wp:lineTo x="0" y="15898"/>
              <wp:lineTo x="4469" y="20349"/>
              <wp:lineTo x="5746" y="20985"/>
              <wp:lineTo x="15322" y="20985"/>
              <wp:lineTo x="16599" y="20349"/>
              <wp:lineTo x="21068" y="15898"/>
              <wp:lineTo x="21068" y="3816"/>
              <wp:lineTo x="15322" y="0"/>
              <wp:lineTo x="5746" y="0"/>
            </wp:wrapPolygon>
          </wp:wrapTight>
          <wp:docPr id="3" name="Obrázek 3" descr="NB_razitko_Klientsky-nejprivetivejsi-banka_2017_3-mist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B_razitko_Klientsky-nejprivetivejsi-banka_2017_3-misto_C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4624" behindDoc="1" locked="0" layoutInCell="1" allowOverlap="1" wp14:anchorId="02DC854A" wp14:editId="60F207A7">
          <wp:simplePos x="0" y="0"/>
          <wp:positionH relativeFrom="column">
            <wp:posOffset>5501005</wp:posOffset>
          </wp:positionH>
          <wp:positionV relativeFrom="paragraph">
            <wp:posOffset>19685</wp:posOffset>
          </wp:positionV>
          <wp:extent cx="657225" cy="659130"/>
          <wp:effectExtent l="0" t="0" r="9525" b="7620"/>
          <wp:wrapTight wrapText="bothSides">
            <wp:wrapPolygon edited="0">
              <wp:start x="6261" y="0"/>
              <wp:lineTo x="0" y="3121"/>
              <wp:lineTo x="0" y="15607"/>
              <wp:lineTo x="3130" y="19977"/>
              <wp:lineTo x="5635" y="21225"/>
              <wp:lineTo x="15652" y="21225"/>
              <wp:lineTo x="18157" y="19977"/>
              <wp:lineTo x="21287" y="15607"/>
              <wp:lineTo x="21287" y="3121"/>
              <wp:lineTo x="15026" y="0"/>
              <wp:lineTo x="6261" y="0"/>
            </wp:wrapPolygon>
          </wp:wrapTight>
          <wp:docPr id="2" name="Obrázek 2" descr="NB_razitko_Klientsky-nejprivetivejsi-banka_2017_2-mist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B_razitko_Klientsky-nejprivetivejsi-banka_2017_2-misto_CZ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A7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01C6C1C" wp14:editId="1D6C41DF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5715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F6F44" id="Rectangle 1" o:spid="_x0000_s1026" style="position:absolute;margin-left:43.95pt;margin-top:35.15pt;width:507.4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" fillcolor="#0099cd" stroked="f">
              <w10:wrap anchorx="page" anchory="page"/>
              <w10:anchorlock/>
            </v:rect>
          </w:pict>
        </mc:Fallback>
      </mc:AlternateContent>
    </w:r>
  </w:p>
  <w:p w:rsidR="00B10B0B" w:rsidRDefault="00B10B0B" w:rsidP="0023390A">
    <w:pPr>
      <w:pStyle w:val="Zhlav"/>
      <w:rPr>
        <w:color w:val="7F7F7F" w:themeColor="text1" w:themeTint="80"/>
        <w:sz w:val="17"/>
        <w:szCs w:val="17"/>
      </w:rPr>
    </w:pPr>
  </w:p>
  <w:p w:rsidR="00B10B0B" w:rsidRDefault="00B10B0B" w:rsidP="0023390A">
    <w:pPr>
      <w:pStyle w:val="Zhlav"/>
      <w:rPr>
        <w:color w:val="7F7F7F" w:themeColor="text1" w:themeTint="80"/>
        <w:sz w:val="17"/>
        <w:szCs w:val="17"/>
      </w:rPr>
    </w:pPr>
  </w:p>
  <w:p w:rsidR="00B10B0B" w:rsidRDefault="00B10B0B" w:rsidP="0023390A">
    <w:pPr>
      <w:pStyle w:val="Zhlav"/>
      <w:rPr>
        <w:color w:val="7F7F7F" w:themeColor="text1" w:themeTint="80"/>
        <w:sz w:val="17"/>
        <w:szCs w:val="17"/>
      </w:rPr>
    </w:pPr>
  </w:p>
  <w:p w:rsidR="00B10B0B" w:rsidRDefault="00B10B0B" w:rsidP="0023390A">
    <w:pPr>
      <w:pStyle w:val="Zhlav"/>
      <w:rPr>
        <w:color w:val="7F7F7F" w:themeColor="text1" w:themeTint="80"/>
        <w:sz w:val="17"/>
        <w:szCs w:val="17"/>
      </w:rPr>
    </w:pPr>
  </w:p>
  <w:p w:rsidR="00B10B0B" w:rsidRPr="0023390A" w:rsidRDefault="00604A7B" w:rsidP="0023390A">
    <w:pPr>
      <w:pStyle w:val="Zhlav"/>
      <w:rPr>
        <w:color w:val="7F7F7F" w:themeColor="text1" w:themeTint="80"/>
        <w:sz w:val="17"/>
        <w:szCs w:val="17"/>
      </w:rPr>
    </w:pPr>
    <w:r>
      <w:rPr>
        <w:noProof/>
        <w:color w:val="7F7F7F" w:themeColor="text1" w:themeTint="80"/>
        <w:sz w:val="17"/>
        <w:szCs w:val="17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D27B75D" wp14:editId="57B26332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571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3FA5B" id="Rectangle 1" o:spid="_x0000_s1026" style="position:absolute;margin-left:43.95pt;margin-top:35.15pt;width:507.4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" fillcolor="#0099cd" stroked="f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0A"/>
    <w:rsid w:val="00014F8A"/>
    <w:rsid w:val="00016DBC"/>
    <w:rsid w:val="0001711B"/>
    <w:rsid w:val="00022541"/>
    <w:rsid w:val="00022E6D"/>
    <w:rsid w:val="0002302B"/>
    <w:rsid w:val="00025D46"/>
    <w:rsid w:val="0002676F"/>
    <w:rsid w:val="00027BCC"/>
    <w:rsid w:val="00042E65"/>
    <w:rsid w:val="00045A11"/>
    <w:rsid w:val="00053920"/>
    <w:rsid w:val="0005395B"/>
    <w:rsid w:val="00055030"/>
    <w:rsid w:val="00060E52"/>
    <w:rsid w:val="00062C3D"/>
    <w:rsid w:val="00077E2C"/>
    <w:rsid w:val="0009090D"/>
    <w:rsid w:val="000963DD"/>
    <w:rsid w:val="000C08DB"/>
    <w:rsid w:val="000C41C6"/>
    <w:rsid w:val="000C65E7"/>
    <w:rsid w:val="000C6C62"/>
    <w:rsid w:val="000D3236"/>
    <w:rsid w:val="000E5220"/>
    <w:rsid w:val="000E5FD5"/>
    <w:rsid w:val="000F336A"/>
    <w:rsid w:val="000F4102"/>
    <w:rsid w:val="000F42AC"/>
    <w:rsid w:val="00120E59"/>
    <w:rsid w:val="001275CA"/>
    <w:rsid w:val="0013284A"/>
    <w:rsid w:val="00133F8C"/>
    <w:rsid w:val="00154963"/>
    <w:rsid w:val="001570B8"/>
    <w:rsid w:val="00164877"/>
    <w:rsid w:val="001670F8"/>
    <w:rsid w:val="00172C8E"/>
    <w:rsid w:val="00173417"/>
    <w:rsid w:val="0017718F"/>
    <w:rsid w:val="0018452F"/>
    <w:rsid w:val="00184801"/>
    <w:rsid w:val="00185BB0"/>
    <w:rsid w:val="00186B22"/>
    <w:rsid w:val="00197AF3"/>
    <w:rsid w:val="001D0BD9"/>
    <w:rsid w:val="001D33F0"/>
    <w:rsid w:val="001D41ED"/>
    <w:rsid w:val="001E5683"/>
    <w:rsid w:val="001E5B28"/>
    <w:rsid w:val="001F7374"/>
    <w:rsid w:val="00205FBD"/>
    <w:rsid w:val="00207850"/>
    <w:rsid w:val="00211E70"/>
    <w:rsid w:val="002317E0"/>
    <w:rsid w:val="0023390A"/>
    <w:rsid w:val="00234E20"/>
    <w:rsid w:val="002359C7"/>
    <w:rsid w:val="002433B5"/>
    <w:rsid w:val="00254360"/>
    <w:rsid w:val="00280A90"/>
    <w:rsid w:val="002835A9"/>
    <w:rsid w:val="0029568D"/>
    <w:rsid w:val="002A4902"/>
    <w:rsid w:val="002B3222"/>
    <w:rsid w:val="002B5E13"/>
    <w:rsid w:val="002D7222"/>
    <w:rsid w:val="002E0652"/>
    <w:rsid w:val="002E3747"/>
    <w:rsid w:val="002E5B19"/>
    <w:rsid w:val="002F29C6"/>
    <w:rsid w:val="00302BD7"/>
    <w:rsid w:val="00304FB8"/>
    <w:rsid w:val="0031507E"/>
    <w:rsid w:val="00315B52"/>
    <w:rsid w:val="00320E5A"/>
    <w:rsid w:val="00324170"/>
    <w:rsid w:val="003371D6"/>
    <w:rsid w:val="00353E54"/>
    <w:rsid w:val="00355741"/>
    <w:rsid w:val="00357D3B"/>
    <w:rsid w:val="003701E7"/>
    <w:rsid w:val="00370694"/>
    <w:rsid w:val="0037729F"/>
    <w:rsid w:val="003C2974"/>
    <w:rsid w:val="003C5B90"/>
    <w:rsid w:val="003E3DBC"/>
    <w:rsid w:val="003E6D0F"/>
    <w:rsid w:val="003F1F88"/>
    <w:rsid w:val="00400310"/>
    <w:rsid w:val="00425BAD"/>
    <w:rsid w:val="004510A4"/>
    <w:rsid w:val="0045230C"/>
    <w:rsid w:val="00467F2F"/>
    <w:rsid w:val="004748A5"/>
    <w:rsid w:val="004C05FF"/>
    <w:rsid w:val="004C4F29"/>
    <w:rsid w:val="004C6DAE"/>
    <w:rsid w:val="004D488C"/>
    <w:rsid w:val="004D6955"/>
    <w:rsid w:val="004E74E7"/>
    <w:rsid w:val="004E778D"/>
    <w:rsid w:val="004F770A"/>
    <w:rsid w:val="0050418F"/>
    <w:rsid w:val="00512E7B"/>
    <w:rsid w:val="005179BF"/>
    <w:rsid w:val="00526439"/>
    <w:rsid w:val="00545A37"/>
    <w:rsid w:val="0055136C"/>
    <w:rsid w:val="0056075F"/>
    <w:rsid w:val="00562524"/>
    <w:rsid w:val="005647FC"/>
    <w:rsid w:val="005712E7"/>
    <w:rsid w:val="0057246A"/>
    <w:rsid w:val="005757E1"/>
    <w:rsid w:val="00585E46"/>
    <w:rsid w:val="0059192E"/>
    <w:rsid w:val="00597CF6"/>
    <w:rsid w:val="005A352D"/>
    <w:rsid w:val="005B2550"/>
    <w:rsid w:val="005B45BF"/>
    <w:rsid w:val="005C24A3"/>
    <w:rsid w:val="005D01FD"/>
    <w:rsid w:val="005E6504"/>
    <w:rsid w:val="005F051B"/>
    <w:rsid w:val="00601928"/>
    <w:rsid w:val="00604A7B"/>
    <w:rsid w:val="00614489"/>
    <w:rsid w:val="00625A52"/>
    <w:rsid w:val="00627A6C"/>
    <w:rsid w:val="0063014B"/>
    <w:rsid w:val="0063302D"/>
    <w:rsid w:val="0063524E"/>
    <w:rsid w:val="006447F2"/>
    <w:rsid w:val="00654FE7"/>
    <w:rsid w:val="00657FE0"/>
    <w:rsid w:val="006615C4"/>
    <w:rsid w:val="00666381"/>
    <w:rsid w:val="0067010E"/>
    <w:rsid w:val="00677ABC"/>
    <w:rsid w:val="00681D36"/>
    <w:rsid w:val="00683457"/>
    <w:rsid w:val="00686305"/>
    <w:rsid w:val="006921AC"/>
    <w:rsid w:val="0069326E"/>
    <w:rsid w:val="00693408"/>
    <w:rsid w:val="00693917"/>
    <w:rsid w:val="00694CF0"/>
    <w:rsid w:val="006A608E"/>
    <w:rsid w:val="006B7B06"/>
    <w:rsid w:val="006C6925"/>
    <w:rsid w:val="006D2764"/>
    <w:rsid w:val="006D3BCF"/>
    <w:rsid w:val="006D7BA6"/>
    <w:rsid w:val="006F22FB"/>
    <w:rsid w:val="0070285A"/>
    <w:rsid w:val="007161E6"/>
    <w:rsid w:val="007272B1"/>
    <w:rsid w:val="007324A6"/>
    <w:rsid w:val="007328C1"/>
    <w:rsid w:val="00737B99"/>
    <w:rsid w:val="00751F83"/>
    <w:rsid w:val="00762E2E"/>
    <w:rsid w:val="0076472C"/>
    <w:rsid w:val="0076570C"/>
    <w:rsid w:val="007671E2"/>
    <w:rsid w:val="00775784"/>
    <w:rsid w:val="00776BAB"/>
    <w:rsid w:val="00783B11"/>
    <w:rsid w:val="00795ABF"/>
    <w:rsid w:val="007A5C18"/>
    <w:rsid w:val="007D19E5"/>
    <w:rsid w:val="007D570A"/>
    <w:rsid w:val="007D7E44"/>
    <w:rsid w:val="007F0C38"/>
    <w:rsid w:val="007F2105"/>
    <w:rsid w:val="0080063E"/>
    <w:rsid w:val="00807D1E"/>
    <w:rsid w:val="008209E0"/>
    <w:rsid w:val="008260AE"/>
    <w:rsid w:val="00826A08"/>
    <w:rsid w:val="00854300"/>
    <w:rsid w:val="008562BE"/>
    <w:rsid w:val="0086067B"/>
    <w:rsid w:val="00862288"/>
    <w:rsid w:val="00874DEE"/>
    <w:rsid w:val="0088776D"/>
    <w:rsid w:val="00887F14"/>
    <w:rsid w:val="0089322E"/>
    <w:rsid w:val="008A7B18"/>
    <w:rsid w:val="008B67E7"/>
    <w:rsid w:val="008C1253"/>
    <w:rsid w:val="008F267B"/>
    <w:rsid w:val="00902600"/>
    <w:rsid w:val="00903341"/>
    <w:rsid w:val="00910387"/>
    <w:rsid w:val="0091298E"/>
    <w:rsid w:val="0092310A"/>
    <w:rsid w:val="0092579D"/>
    <w:rsid w:val="0093615C"/>
    <w:rsid w:val="0094658D"/>
    <w:rsid w:val="0094765A"/>
    <w:rsid w:val="009539AA"/>
    <w:rsid w:val="0096121D"/>
    <w:rsid w:val="00966197"/>
    <w:rsid w:val="00967CD3"/>
    <w:rsid w:val="009717F2"/>
    <w:rsid w:val="00973C27"/>
    <w:rsid w:val="0097490F"/>
    <w:rsid w:val="0098288F"/>
    <w:rsid w:val="009860F7"/>
    <w:rsid w:val="0099085B"/>
    <w:rsid w:val="009A1991"/>
    <w:rsid w:val="009A7271"/>
    <w:rsid w:val="009D2B1C"/>
    <w:rsid w:val="009D3DA9"/>
    <w:rsid w:val="009D4E90"/>
    <w:rsid w:val="009F6E47"/>
    <w:rsid w:val="00A033F6"/>
    <w:rsid w:val="00A042C9"/>
    <w:rsid w:val="00A30C19"/>
    <w:rsid w:val="00A466B7"/>
    <w:rsid w:val="00A51B91"/>
    <w:rsid w:val="00A558E7"/>
    <w:rsid w:val="00A82EE5"/>
    <w:rsid w:val="00A85A94"/>
    <w:rsid w:val="00A86B99"/>
    <w:rsid w:val="00A9791C"/>
    <w:rsid w:val="00AA2D7C"/>
    <w:rsid w:val="00AB1365"/>
    <w:rsid w:val="00AC7D88"/>
    <w:rsid w:val="00AD4AAC"/>
    <w:rsid w:val="00AD715B"/>
    <w:rsid w:val="00AE166F"/>
    <w:rsid w:val="00AF031E"/>
    <w:rsid w:val="00AF4CDB"/>
    <w:rsid w:val="00B01A2E"/>
    <w:rsid w:val="00B10B0B"/>
    <w:rsid w:val="00B21197"/>
    <w:rsid w:val="00B3088D"/>
    <w:rsid w:val="00B3359E"/>
    <w:rsid w:val="00B643C9"/>
    <w:rsid w:val="00B6670A"/>
    <w:rsid w:val="00B827EE"/>
    <w:rsid w:val="00B83DA3"/>
    <w:rsid w:val="00B92902"/>
    <w:rsid w:val="00BB0EF0"/>
    <w:rsid w:val="00BC7196"/>
    <w:rsid w:val="00BD1B9B"/>
    <w:rsid w:val="00BD441A"/>
    <w:rsid w:val="00BD6383"/>
    <w:rsid w:val="00BE01E5"/>
    <w:rsid w:val="00BE747A"/>
    <w:rsid w:val="00BF322A"/>
    <w:rsid w:val="00BF64EE"/>
    <w:rsid w:val="00BF6F3C"/>
    <w:rsid w:val="00C0071E"/>
    <w:rsid w:val="00C03438"/>
    <w:rsid w:val="00C11393"/>
    <w:rsid w:val="00C15F94"/>
    <w:rsid w:val="00C24380"/>
    <w:rsid w:val="00C25E85"/>
    <w:rsid w:val="00C75ACA"/>
    <w:rsid w:val="00C81590"/>
    <w:rsid w:val="00C97429"/>
    <w:rsid w:val="00CA5547"/>
    <w:rsid w:val="00CA58E4"/>
    <w:rsid w:val="00CC6CCC"/>
    <w:rsid w:val="00CD5E73"/>
    <w:rsid w:val="00CE5708"/>
    <w:rsid w:val="00CE5FF3"/>
    <w:rsid w:val="00CE6339"/>
    <w:rsid w:val="00CF31D3"/>
    <w:rsid w:val="00D41D8B"/>
    <w:rsid w:val="00D434EA"/>
    <w:rsid w:val="00D47600"/>
    <w:rsid w:val="00D537FB"/>
    <w:rsid w:val="00D542B6"/>
    <w:rsid w:val="00D85CFC"/>
    <w:rsid w:val="00D9268E"/>
    <w:rsid w:val="00DA691B"/>
    <w:rsid w:val="00DB4D7C"/>
    <w:rsid w:val="00DD514C"/>
    <w:rsid w:val="00DE0026"/>
    <w:rsid w:val="00DE7053"/>
    <w:rsid w:val="00E06E67"/>
    <w:rsid w:val="00E21088"/>
    <w:rsid w:val="00E266EE"/>
    <w:rsid w:val="00E3003B"/>
    <w:rsid w:val="00E32E2D"/>
    <w:rsid w:val="00E55812"/>
    <w:rsid w:val="00E63ABD"/>
    <w:rsid w:val="00E63E08"/>
    <w:rsid w:val="00E70F6A"/>
    <w:rsid w:val="00E73D7A"/>
    <w:rsid w:val="00E8076D"/>
    <w:rsid w:val="00E807E8"/>
    <w:rsid w:val="00E93B77"/>
    <w:rsid w:val="00EA152C"/>
    <w:rsid w:val="00EA232C"/>
    <w:rsid w:val="00EB361B"/>
    <w:rsid w:val="00EB3B9D"/>
    <w:rsid w:val="00EC05F9"/>
    <w:rsid w:val="00EC1001"/>
    <w:rsid w:val="00EC21E6"/>
    <w:rsid w:val="00EC712D"/>
    <w:rsid w:val="00EE4B8B"/>
    <w:rsid w:val="00EE72C8"/>
    <w:rsid w:val="00EE7653"/>
    <w:rsid w:val="00EF074F"/>
    <w:rsid w:val="00EF247B"/>
    <w:rsid w:val="00F02626"/>
    <w:rsid w:val="00F1648F"/>
    <w:rsid w:val="00F170B5"/>
    <w:rsid w:val="00F332D4"/>
    <w:rsid w:val="00F340C0"/>
    <w:rsid w:val="00F5238A"/>
    <w:rsid w:val="00F55021"/>
    <w:rsid w:val="00F6248C"/>
    <w:rsid w:val="00F633DD"/>
    <w:rsid w:val="00F66FF4"/>
    <w:rsid w:val="00F76E3B"/>
    <w:rsid w:val="00F92B0B"/>
    <w:rsid w:val="00FA6C31"/>
    <w:rsid w:val="00FB0EF7"/>
    <w:rsid w:val="00FB70B9"/>
    <w:rsid w:val="00FC1D6D"/>
    <w:rsid w:val="00FD1B47"/>
    <w:rsid w:val="00FD4A9F"/>
    <w:rsid w:val="00FF34DF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B1FE5-3C34-4DBF-9E2B-5D58EE3D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90A"/>
    <w:pPr>
      <w:spacing w:after="0" w:line="260" w:lineRule="atLeast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3390A"/>
    <w:pPr>
      <w:keepNext/>
      <w:spacing w:before="520" w:after="380" w:line="460" w:lineRule="atLeast"/>
      <w:outlineLvl w:val="0"/>
    </w:pPr>
    <w:rPr>
      <w:rFonts w:eastAsia="Times New Roman"/>
      <w:b/>
      <w:bCs/>
      <w:caps/>
      <w:kern w:val="32"/>
      <w:sz w:val="3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90A"/>
    <w:rPr>
      <w:rFonts w:ascii="Arial" w:eastAsia="Times New Roman" w:hAnsi="Arial" w:cs="Times New Roman"/>
      <w:b/>
      <w:bCs/>
      <w:caps/>
      <w:kern w:val="32"/>
      <w:sz w:val="38"/>
      <w:szCs w:val="32"/>
    </w:rPr>
  </w:style>
  <w:style w:type="paragraph" w:styleId="Zhlav">
    <w:name w:val="header"/>
    <w:basedOn w:val="Normln"/>
    <w:link w:val="ZhlavChar"/>
    <w:uiPriority w:val="99"/>
    <w:unhideWhenUsed/>
    <w:rsid w:val="002339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90A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339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90A"/>
    <w:rPr>
      <w:rFonts w:ascii="Arial" w:eastAsia="Calibri" w:hAnsi="Arial" w:cs="Times New Roman"/>
    </w:rPr>
  </w:style>
  <w:style w:type="paragraph" w:customStyle="1" w:styleId="Zapati2">
    <w:name w:val="Zapati_2"/>
    <w:basedOn w:val="Normln"/>
    <w:qFormat/>
    <w:rsid w:val="0023390A"/>
    <w:rPr>
      <w:color w:val="FFFFFF"/>
      <w:sz w:val="14"/>
    </w:rPr>
  </w:style>
  <w:style w:type="character" w:styleId="Hypertextovodkaz">
    <w:name w:val="Hyperlink"/>
    <w:rsid w:val="00EE7653"/>
    <w:rPr>
      <w:rFonts w:cs="Verdana"/>
      <w:color w:val="000000"/>
    </w:rPr>
  </w:style>
  <w:style w:type="paragraph" w:customStyle="1" w:styleId="kontakt">
    <w:name w:val="kontakt"/>
    <w:basedOn w:val="Normln"/>
    <w:next w:val="kontaktbez"/>
    <w:rsid w:val="00EE7653"/>
    <w:pPr>
      <w:spacing w:before="220" w:line="220" w:lineRule="atLeast"/>
    </w:pPr>
    <w:rPr>
      <w:rFonts w:ascii="Verdana" w:eastAsia="Times New Roman" w:hAnsi="Verdana"/>
      <w:sz w:val="18"/>
      <w:szCs w:val="18"/>
      <w:lang w:eastAsia="cs-CZ"/>
    </w:rPr>
  </w:style>
  <w:style w:type="paragraph" w:customStyle="1" w:styleId="kontaktbez">
    <w:name w:val="kontakt bez"/>
    <w:basedOn w:val="kontakt"/>
    <w:rsid w:val="00EE7653"/>
    <w:p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653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C2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DAE"/>
    <w:rPr>
      <w:b/>
      <w:bCs/>
    </w:rPr>
  </w:style>
  <w:style w:type="character" w:styleId="Zdraznn">
    <w:name w:val="Emphasis"/>
    <w:basedOn w:val="Standardnpsmoodstavce"/>
    <w:uiPriority w:val="20"/>
    <w:qFormat/>
    <w:rsid w:val="008562B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95A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5A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5ABF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5A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5ABF"/>
    <w:rPr>
      <w:rFonts w:ascii="Arial" w:eastAsia="Calibri" w:hAnsi="Arial" w:cs="Times New Roman"/>
      <w:b/>
      <w:bCs/>
      <w:sz w:val="20"/>
      <w:szCs w:val="20"/>
    </w:rPr>
  </w:style>
  <w:style w:type="paragraph" w:customStyle="1" w:styleId="gmail-msonormal">
    <w:name w:val="gmail-msonormal"/>
    <w:basedOn w:val="Normln"/>
    <w:qFormat/>
    <w:rsid w:val="0092310A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9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pecky@cso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of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528269586207598E-2"/>
          <c:y val="3.1102812180276999E-2"/>
          <c:w val="0.95773664037329198"/>
          <c:h val="0.78903110160237"/>
        </c:manualLayout>
      </c:layout>
      <c:lineChart>
        <c:grouping val="standard"/>
        <c:varyColors val="0"/>
        <c:ser>
          <c:idx val="2"/>
          <c:order val="0"/>
          <c:tx>
            <c:strRef>
              <c:f>'Index obr.'!$E$1</c:f>
              <c:strCache>
                <c:ptCount val="1"/>
                <c:pt idx="0">
                  <c:v>Dílčí index rozšíření podnikání</c:v>
                </c:pt>
              </c:strCache>
            </c:strRef>
          </c:tx>
          <c:spPr>
            <a:ln w="19050">
              <a:solidFill>
                <a:srgbClr val="004D6C"/>
              </a:solidFill>
              <a:prstDash val="dash"/>
            </a:ln>
          </c:spPr>
          <c:marker>
            <c:symbol val="circle"/>
            <c:size val="5"/>
            <c:spPr>
              <a:solidFill>
                <a:srgbClr val="004D6C"/>
              </a:solidFill>
              <a:ln>
                <a:solidFill>
                  <a:srgbClr val="004D6C"/>
                </a:solidFill>
              </a:ln>
            </c:spPr>
          </c:marker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653-4C35-A5C7-D298E7987B4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653-4C35-A5C7-D298E7987B4A}"/>
              </c:ext>
            </c:extLst>
          </c:dPt>
          <c:dLbls>
            <c:dLbl>
              <c:idx val="0"/>
              <c:layout>
                <c:manualLayout>
                  <c:x val="-4.0380579527860803E-2"/>
                  <c:y val="1.5741825003171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414019237414E-2"/>
                  <c:y val="-4.9848259453119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067632648360199E-2"/>
                  <c:y val="-4.63791206762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903345092135492E-3"/>
                  <c:y val="-4.1787602718716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4722676073708397E-3"/>
                  <c:y val="-4.1787602718716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271003527640701E-2"/>
                  <c:y val="5.5716803624955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2.3215334843731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60335720273505E-2"/>
                  <c:y val="5.5716803624955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9240286432820601E-2"/>
                  <c:y val="4.3897111009380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F-C653-4C35-A5C7-D298E7987B4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rgbClr val="004D6C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'Index obr.'!$B$2:$B$19</c:f>
              <c:strCache>
                <c:ptCount val="18"/>
                <c:pt idx="0">
                  <c:v>Q3/2013</c:v>
                </c:pt>
                <c:pt idx="1">
                  <c:v>Q4/2013</c:v>
                </c:pt>
                <c:pt idx="2">
                  <c:v>Q1/2014</c:v>
                </c:pt>
                <c:pt idx="3">
                  <c:v>Q2/2014</c:v>
                </c:pt>
                <c:pt idx="4">
                  <c:v>Q3/2014</c:v>
                </c:pt>
                <c:pt idx="5">
                  <c:v>Q4/2014</c:v>
                </c:pt>
                <c:pt idx="6">
                  <c:v>Q1/2015</c:v>
                </c:pt>
                <c:pt idx="7">
                  <c:v>Q2/2015</c:v>
                </c:pt>
                <c:pt idx="8">
                  <c:v>Q3/2015</c:v>
                </c:pt>
                <c:pt idx="9">
                  <c:v>Q4/2015</c:v>
                </c:pt>
                <c:pt idx="10">
                  <c:v>Q1/2016</c:v>
                </c:pt>
                <c:pt idx="11">
                  <c:v>Q2/2016</c:v>
                </c:pt>
                <c:pt idx="12">
                  <c:v>Q3/2016</c:v>
                </c:pt>
                <c:pt idx="13">
                  <c:v>Q4/2016</c:v>
                </c:pt>
                <c:pt idx="14">
                  <c:v>Q1/2017</c:v>
                </c:pt>
                <c:pt idx="15">
                  <c:v>Q2/2017</c:v>
                </c:pt>
                <c:pt idx="16">
                  <c:v>Q3/2017</c:v>
                </c:pt>
                <c:pt idx="17">
                  <c:v>Q4/2017</c:v>
                </c:pt>
              </c:strCache>
            </c:strRef>
          </c:cat>
          <c:val>
            <c:numRef>
              <c:f>'Index obr.'!$E$2:$E$19</c:f>
              <c:numCache>
                <c:formatCode>General</c:formatCode>
                <c:ptCount val="18"/>
                <c:pt idx="0">
                  <c:v>11.1</c:v>
                </c:pt>
                <c:pt idx="1">
                  <c:v>10.9</c:v>
                </c:pt>
                <c:pt idx="2">
                  <c:v>17.7</c:v>
                </c:pt>
                <c:pt idx="3">
                  <c:v>11.4</c:v>
                </c:pt>
                <c:pt idx="4">
                  <c:v>9.6999999999999993</c:v>
                </c:pt>
                <c:pt idx="5">
                  <c:v>13</c:v>
                </c:pt>
                <c:pt idx="6">
                  <c:v>13</c:v>
                </c:pt>
                <c:pt idx="7">
                  <c:v>9.1</c:v>
                </c:pt>
                <c:pt idx="8">
                  <c:v>12.6</c:v>
                </c:pt>
                <c:pt idx="9">
                  <c:v>16.8</c:v>
                </c:pt>
                <c:pt idx="10">
                  <c:v>10</c:v>
                </c:pt>
                <c:pt idx="11">
                  <c:v>17.7</c:v>
                </c:pt>
                <c:pt idx="12">
                  <c:v>15.2</c:v>
                </c:pt>
                <c:pt idx="13">
                  <c:v>13</c:v>
                </c:pt>
                <c:pt idx="14">
                  <c:v>9.4</c:v>
                </c:pt>
                <c:pt idx="15">
                  <c:v>16.100000000000001</c:v>
                </c:pt>
                <c:pt idx="16">
                  <c:v>13.1</c:v>
                </c:pt>
                <c:pt idx="17">
                  <c:v>22.3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C653-4C35-A5C7-D298E7987B4A}"/>
            </c:ext>
          </c:extLst>
        </c:ser>
        <c:ser>
          <c:idx val="3"/>
          <c:order val="1"/>
          <c:tx>
            <c:strRef>
              <c:f>'Index obr.'!$F$1</c:f>
              <c:strCache>
                <c:ptCount val="1"/>
                <c:pt idx="0">
                  <c:v>Dílčí index vývoje poptávky</c:v>
                </c:pt>
              </c:strCache>
            </c:strRef>
          </c:tx>
          <c:spPr>
            <a:ln w="19050">
              <a:solidFill>
                <a:srgbClr val="0084B6"/>
              </a:solidFill>
              <a:prstDash val="dash"/>
            </a:ln>
          </c:spPr>
          <c:marker>
            <c:symbol val="circle"/>
            <c:size val="5"/>
            <c:spPr>
              <a:solidFill>
                <a:srgbClr val="0084B6"/>
              </a:solidFill>
              <a:ln>
                <a:solidFill>
                  <a:srgbClr val="0084B6"/>
                </a:solidFill>
              </a:ln>
            </c:spPr>
          </c:marker>
          <c:dLbls>
            <c:dLbl>
              <c:idx val="0"/>
              <c:layout>
                <c:manualLayout>
                  <c:x val="-3.0178604008321199E-2"/>
                  <c:y val="-6.0360236189526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688505558505699E-3"/>
                  <c:y val="1.3929200906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2038407557163E-2"/>
                  <c:y val="4.1787602718716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431392434479802E-2"/>
                  <c:y val="-4.6430669687463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1181479325946E-2"/>
                  <c:y val="-3.7144535749970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743271135011501E-2"/>
                  <c:y val="-4.1787602718716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6201432164103005E-3"/>
                  <c:y val="3.7144535749970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4430214824615401E-2"/>
                  <c:y val="-4.1787602718716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9240286432820601E-2"/>
                  <c:y val="-3.250146878122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8436436355556E-2"/>
                  <c:y val="-3.250146878122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4050358041025701E-2"/>
                  <c:y val="-4.1787602718716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C653-4C35-A5C7-D298E7987B4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rgbClr val="0084B6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'Index obr.'!$B$2:$B$19</c:f>
              <c:strCache>
                <c:ptCount val="18"/>
                <c:pt idx="0">
                  <c:v>Q3/2013</c:v>
                </c:pt>
                <c:pt idx="1">
                  <c:v>Q4/2013</c:v>
                </c:pt>
                <c:pt idx="2">
                  <c:v>Q1/2014</c:v>
                </c:pt>
                <c:pt idx="3">
                  <c:v>Q2/2014</c:v>
                </c:pt>
                <c:pt idx="4">
                  <c:v>Q3/2014</c:v>
                </c:pt>
                <c:pt idx="5">
                  <c:v>Q4/2014</c:v>
                </c:pt>
                <c:pt idx="6">
                  <c:v>Q1/2015</c:v>
                </c:pt>
                <c:pt idx="7">
                  <c:v>Q2/2015</c:v>
                </c:pt>
                <c:pt idx="8">
                  <c:v>Q3/2015</c:v>
                </c:pt>
                <c:pt idx="9">
                  <c:v>Q4/2015</c:v>
                </c:pt>
                <c:pt idx="10">
                  <c:v>Q1/2016</c:v>
                </c:pt>
                <c:pt idx="11">
                  <c:v>Q2/2016</c:v>
                </c:pt>
                <c:pt idx="12">
                  <c:v>Q3/2016</c:v>
                </c:pt>
                <c:pt idx="13">
                  <c:v>Q4/2016</c:v>
                </c:pt>
                <c:pt idx="14">
                  <c:v>Q1/2017</c:v>
                </c:pt>
                <c:pt idx="15">
                  <c:v>Q2/2017</c:v>
                </c:pt>
                <c:pt idx="16">
                  <c:v>Q3/2017</c:v>
                </c:pt>
                <c:pt idx="17">
                  <c:v>Q4/2017</c:v>
                </c:pt>
              </c:strCache>
            </c:strRef>
          </c:cat>
          <c:val>
            <c:numRef>
              <c:f>'Index obr.'!$F$2:$F$19</c:f>
              <c:numCache>
                <c:formatCode>General</c:formatCode>
                <c:ptCount val="18"/>
                <c:pt idx="0">
                  <c:v>20.399999999999999</c:v>
                </c:pt>
                <c:pt idx="1">
                  <c:v>-29.9</c:v>
                </c:pt>
                <c:pt idx="2">
                  <c:v>6.8</c:v>
                </c:pt>
                <c:pt idx="3">
                  <c:v>27</c:v>
                </c:pt>
                <c:pt idx="4">
                  <c:v>24.6</c:v>
                </c:pt>
                <c:pt idx="5">
                  <c:v>22.8</c:v>
                </c:pt>
                <c:pt idx="6">
                  <c:v>46.4</c:v>
                </c:pt>
                <c:pt idx="7">
                  <c:v>42.1</c:v>
                </c:pt>
                <c:pt idx="8">
                  <c:v>39.299999999999997</c:v>
                </c:pt>
                <c:pt idx="9">
                  <c:v>37.299999999999997</c:v>
                </c:pt>
                <c:pt idx="10">
                  <c:v>31.5</c:v>
                </c:pt>
                <c:pt idx="11">
                  <c:v>55.7</c:v>
                </c:pt>
                <c:pt idx="12">
                  <c:v>48.7</c:v>
                </c:pt>
                <c:pt idx="13">
                  <c:v>25.1</c:v>
                </c:pt>
                <c:pt idx="14">
                  <c:v>50.4</c:v>
                </c:pt>
                <c:pt idx="15">
                  <c:v>56.4</c:v>
                </c:pt>
                <c:pt idx="16">
                  <c:v>47.4</c:v>
                </c:pt>
                <c:pt idx="17">
                  <c:v>56.3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C653-4C35-A5C7-D298E7987B4A}"/>
            </c:ext>
          </c:extLst>
        </c:ser>
        <c:ser>
          <c:idx val="0"/>
          <c:order val="2"/>
          <c:tx>
            <c:strRef>
              <c:f>'Index obr.'!$G$1</c:f>
              <c:strCache>
                <c:ptCount val="1"/>
                <c:pt idx="0">
                  <c:v>Dílčí index vývoje objemu investic</c:v>
                </c:pt>
              </c:strCache>
            </c:strRef>
          </c:tx>
          <c:spPr>
            <a:ln w="19050">
              <a:solidFill>
                <a:srgbClr val="7DDAFF"/>
              </a:solidFill>
              <a:prstDash val="dash"/>
            </a:ln>
          </c:spPr>
          <c:marker>
            <c:symbol val="circle"/>
            <c:size val="5"/>
            <c:spPr>
              <a:solidFill>
                <a:srgbClr val="7DDAFF"/>
              </a:solidFill>
              <a:ln>
                <a:solidFill>
                  <a:srgbClr val="7DDAFF"/>
                </a:solidFill>
              </a:ln>
            </c:spPr>
          </c:marker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C653-4C35-A5C7-D298E7987B4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6-C653-4C35-A5C7-D298E7987B4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C653-4C35-A5C7-D298E7987B4A}"/>
              </c:ext>
            </c:extLst>
          </c:dPt>
          <c:dLbls>
            <c:dLbl>
              <c:idx val="0"/>
              <c:layout>
                <c:manualLayout>
                  <c:x val="-3.7391105371574397E-2"/>
                  <c:y val="4.8830075082414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795952335571301E-2"/>
                  <c:y val="3.29844208651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246619896464099E-2"/>
                  <c:y val="5.6838451613941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56703281694498E-2"/>
                  <c:y val="4.6430304091638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0110313940653E-2"/>
                  <c:y val="5.1073736656209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9445352147417E-2"/>
                  <c:y val="5.1073736656209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4722676073708397E-3"/>
                  <c:y val="5.1073736656209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9240286432820601E-2"/>
                  <c:y val="5.1073736656209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4050358041025701E-2"/>
                  <c:y val="5.5716803624955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2.7858401812477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9240286432820601E-2"/>
                  <c:y val="-4.3897111009380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E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2861636338027784E-3"/>
                  <c:y val="4.5514656077640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800" b="1">
                    <a:solidFill>
                      <a:srgbClr val="7DDA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'Index obr.'!$B$2:$B$19</c:f>
              <c:strCache>
                <c:ptCount val="18"/>
                <c:pt idx="0">
                  <c:v>Q3/2013</c:v>
                </c:pt>
                <c:pt idx="1">
                  <c:v>Q4/2013</c:v>
                </c:pt>
                <c:pt idx="2">
                  <c:v>Q1/2014</c:v>
                </c:pt>
                <c:pt idx="3">
                  <c:v>Q2/2014</c:v>
                </c:pt>
                <c:pt idx="4">
                  <c:v>Q3/2014</c:v>
                </c:pt>
                <c:pt idx="5">
                  <c:v>Q4/2014</c:v>
                </c:pt>
                <c:pt idx="6">
                  <c:v>Q1/2015</c:v>
                </c:pt>
                <c:pt idx="7">
                  <c:v>Q2/2015</c:v>
                </c:pt>
                <c:pt idx="8">
                  <c:v>Q3/2015</c:v>
                </c:pt>
                <c:pt idx="9">
                  <c:v>Q4/2015</c:v>
                </c:pt>
                <c:pt idx="10">
                  <c:v>Q1/2016</c:v>
                </c:pt>
                <c:pt idx="11">
                  <c:v>Q2/2016</c:v>
                </c:pt>
                <c:pt idx="12">
                  <c:v>Q3/2016</c:v>
                </c:pt>
                <c:pt idx="13">
                  <c:v>Q4/2016</c:v>
                </c:pt>
                <c:pt idx="14">
                  <c:v>Q1/2017</c:v>
                </c:pt>
                <c:pt idx="15">
                  <c:v>Q2/2017</c:v>
                </c:pt>
                <c:pt idx="16">
                  <c:v>Q3/2017</c:v>
                </c:pt>
                <c:pt idx="17">
                  <c:v>Q4/2017</c:v>
                </c:pt>
              </c:strCache>
            </c:strRef>
          </c:cat>
          <c:val>
            <c:numRef>
              <c:f>'Index obr.'!$G$2:$G$19</c:f>
              <c:numCache>
                <c:formatCode>General</c:formatCode>
                <c:ptCount val="18"/>
                <c:pt idx="0">
                  <c:v>-12.6</c:v>
                </c:pt>
                <c:pt idx="1">
                  <c:v>-15.4</c:v>
                </c:pt>
                <c:pt idx="2">
                  <c:v>-4.5</c:v>
                </c:pt>
                <c:pt idx="3">
                  <c:v>-1.3</c:v>
                </c:pt>
                <c:pt idx="4">
                  <c:v>-10.1</c:v>
                </c:pt>
                <c:pt idx="5">
                  <c:v>1</c:v>
                </c:pt>
                <c:pt idx="6">
                  <c:v>10</c:v>
                </c:pt>
                <c:pt idx="7">
                  <c:v>1.6</c:v>
                </c:pt>
                <c:pt idx="8">
                  <c:v>15.5</c:v>
                </c:pt>
                <c:pt idx="9">
                  <c:v>23.7</c:v>
                </c:pt>
                <c:pt idx="10">
                  <c:v>1.3</c:v>
                </c:pt>
                <c:pt idx="11">
                  <c:v>20.7</c:v>
                </c:pt>
                <c:pt idx="12">
                  <c:v>19.899999999999999</c:v>
                </c:pt>
                <c:pt idx="13">
                  <c:v>20</c:v>
                </c:pt>
                <c:pt idx="14">
                  <c:v>10.9</c:v>
                </c:pt>
                <c:pt idx="15">
                  <c:v>23.4</c:v>
                </c:pt>
                <c:pt idx="16">
                  <c:v>26.9</c:v>
                </c:pt>
                <c:pt idx="17">
                  <c:v>46.3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F-C653-4C35-A5C7-D298E7987B4A}"/>
            </c:ext>
          </c:extLst>
        </c:ser>
        <c:ser>
          <c:idx val="1"/>
          <c:order val="3"/>
          <c:tx>
            <c:strRef>
              <c:f>'Index obr.'!$H$1</c:f>
              <c:strCache>
                <c:ptCount val="1"/>
                <c:pt idx="0">
                  <c:v>Celkový index</c:v>
                </c:pt>
              </c:strCache>
            </c:strRef>
          </c:tx>
          <c:spPr>
            <a:ln w="31750" cmpd="sng">
              <a:solidFill>
                <a:srgbClr val="C00000"/>
              </a:solidFill>
              <a:prstDash val="solid"/>
            </a:ln>
          </c:spPr>
          <c:marker>
            <c:symbol val="circle"/>
            <c:size val="5"/>
          </c:marker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0-C653-4C35-A5C7-D298E7987B4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C653-4C35-A5C7-D298E7987B4A}"/>
              </c:ext>
            </c:extLst>
          </c:dPt>
          <c:dLbls>
            <c:dLbl>
              <c:idx val="0"/>
              <c:layout>
                <c:manualLayout>
                  <c:x val="-4.1207650729967675E-2"/>
                  <c:y val="3.2249889331562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717207177086817E-2"/>
                  <c:y val="-7.4451637892872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655522121921316E-2"/>
                  <c:y val="-2.9352589641434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269085032876408E-2"/>
                  <c:y val="4.5175686144311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180625208960214E-2"/>
                  <c:y val="2.8862051792828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743271135011501E-2"/>
                  <c:y val="-3.7144535749970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571910174969353E-2"/>
                  <c:y val="-4.1661963258078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4430214824615401E-2"/>
                  <c:y val="-4.1787602718716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60335720273505E-2"/>
                  <c:y val="-3.250146878122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60335720273505E-3"/>
                  <c:y val="-2.3215334843731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624596010252984E-2"/>
                  <c:y val="-5.923057768924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8.0167860136752499E-3"/>
                  <c:y val="-1.8572267874985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7.0767859132954422E-3"/>
                  <c:y val="-7.0274457724656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2384375348267024E-2"/>
                  <c:y val="3.2375774679061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C653-4C35-A5C7-D298E7987B4A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5383929566477211E-3"/>
                  <c:y val="-1.4054891544931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4287212112675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2.1085925144965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'Index obr.'!$B$2:$B$19</c:f>
              <c:strCache>
                <c:ptCount val="18"/>
                <c:pt idx="0">
                  <c:v>Q3/2013</c:v>
                </c:pt>
                <c:pt idx="1">
                  <c:v>Q4/2013</c:v>
                </c:pt>
                <c:pt idx="2">
                  <c:v>Q1/2014</c:v>
                </c:pt>
                <c:pt idx="3">
                  <c:v>Q2/2014</c:v>
                </c:pt>
                <c:pt idx="4">
                  <c:v>Q3/2014</c:v>
                </c:pt>
                <c:pt idx="5">
                  <c:v>Q4/2014</c:v>
                </c:pt>
                <c:pt idx="6">
                  <c:v>Q1/2015</c:v>
                </c:pt>
                <c:pt idx="7">
                  <c:v>Q2/2015</c:v>
                </c:pt>
                <c:pt idx="8">
                  <c:v>Q3/2015</c:v>
                </c:pt>
                <c:pt idx="9">
                  <c:v>Q4/2015</c:v>
                </c:pt>
                <c:pt idx="10">
                  <c:v>Q1/2016</c:v>
                </c:pt>
                <c:pt idx="11">
                  <c:v>Q2/2016</c:v>
                </c:pt>
                <c:pt idx="12">
                  <c:v>Q3/2016</c:v>
                </c:pt>
                <c:pt idx="13">
                  <c:v>Q4/2016</c:v>
                </c:pt>
                <c:pt idx="14">
                  <c:v>Q1/2017</c:v>
                </c:pt>
                <c:pt idx="15">
                  <c:v>Q2/2017</c:v>
                </c:pt>
                <c:pt idx="16">
                  <c:v>Q3/2017</c:v>
                </c:pt>
                <c:pt idx="17">
                  <c:v>Q4/2017</c:v>
                </c:pt>
              </c:strCache>
            </c:strRef>
          </c:cat>
          <c:val>
            <c:numRef>
              <c:f>'Index obr.'!$H$2:$H$19</c:f>
              <c:numCache>
                <c:formatCode>General</c:formatCode>
                <c:ptCount val="18"/>
                <c:pt idx="0">
                  <c:v>6.3</c:v>
                </c:pt>
                <c:pt idx="1">
                  <c:v>-11.5</c:v>
                </c:pt>
                <c:pt idx="2">
                  <c:v>6.7</c:v>
                </c:pt>
                <c:pt idx="3">
                  <c:v>12.4</c:v>
                </c:pt>
                <c:pt idx="4">
                  <c:v>8.1</c:v>
                </c:pt>
                <c:pt idx="5">
                  <c:v>12.3</c:v>
                </c:pt>
                <c:pt idx="6">
                  <c:v>23.1</c:v>
                </c:pt>
                <c:pt idx="7">
                  <c:v>17.600000000000001</c:v>
                </c:pt>
                <c:pt idx="8">
                  <c:v>22.5</c:v>
                </c:pt>
                <c:pt idx="9">
                  <c:v>25.9</c:v>
                </c:pt>
                <c:pt idx="10">
                  <c:v>14.2</c:v>
                </c:pt>
                <c:pt idx="11">
                  <c:v>31.4</c:v>
                </c:pt>
                <c:pt idx="12">
                  <c:v>27.9</c:v>
                </c:pt>
                <c:pt idx="13">
                  <c:v>19.3</c:v>
                </c:pt>
                <c:pt idx="14">
                  <c:v>23.6</c:v>
                </c:pt>
                <c:pt idx="15">
                  <c:v>31.9</c:v>
                </c:pt>
                <c:pt idx="16">
                  <c:v>29.1</c:v>
                </c:pt>
                <c:pt idx="17">
                  <c:v>41.6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D-C653-4C35-A5C7-D298E7987B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1642608"/>
        <c:axId val="671639864"/>
      </c:lineChart>
      <c:catAx>
        <c:axId val="67164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noFill/>
          </a:ln>
        </c:spPr>
        <c:txPr>
          <a:bodyPr/>
          <a:lstStyle/>
          <a:p>
            <a:pPr>
              <a:defRPr sz="800" b="1">
                <a:solidFill>
                  <a:schemeClr val="tx1">
                    <a:lumMod val="75000"/>
                    <a:lumOff val="25000"/>
                  </a:schemeClr>
                </a:solidFill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671639864"/>
        <c:crossesAt val="0"/>
        <c:auto val="1"/>
        <c:lblAlgn val="ctr"/>
        <c:lblOffset val="100"/>
        <c:noMultiLvlLbl val="0"/>
      </c:catAx>
      <c:valAx>
        <c:axId val="671639864"/>
        <c:scaling>
          <c:orientation val="minMax"/>
          <c:min val="-35"/>
        </c:scaling>
        <c:delete val="1"/>
        <c:axPos val="l"/>
        <c:numFmt formatCode="General" sourceLinked="1"/>
        <c:majorTickMark val="none"/>
        <c:minorTickMark val="none"/>
        <c:tickLblPos val="nextTo"/>
        <c:crossAx val="671642608"/>
        <c:crosses val="autoZero"/>
        <c:crossBetween val="between"/>
        <c:majorUnit val="4"/>
      </c:valAx>
    </c:plotArea>
    <c:legend>
      <c:legendPos val="r"/>
      <c:layout>
        <c:manualLayout>
          <c:xMode val="edge"/>
          <c:yMode val="edge"/>
          <c:x val="0"/>
          <c:y val="0.92403149838544696"/>
          <c:w val="0.99838193309815704"/>
          <c:h val="7.5968501614553402E-2"/>
        </c:manualLayout>
      </c:layout>
      <c:overlay val="0"/>
      <c:txPr>
        <a:bodyPr/>
        <a:lstStyle/>
        <a:p>
          <a:pPr>
            <a:defRPr sz="800">
              <a:solidFill>
                <a:srgbClr val="404040"/>
              </a:solidFill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43292-BD03-4757-B9E7-748F1CB1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2671</Characters>
  <Application>Microsoft Office Word</Application>
  <DocSecurity>0</DocSecurity>
  <Lines>50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KJI</dc:creator>
  <cp:lastModifiedBy>MADLE Patrik</cp:lastModifiedBy>
  <cp:revision>3</cp:revision>
  <cp:lastPrinted>2017-11-14T12:24:00Z</cp:lastPrinted>
  <dcterms:created xsi:type="dcterms:W3CDTF">2018-01-14T20:35:00Z</dcterms:created>
  <dcterms:modified xsi:type="dcterms:W3CDTF">2018-01-14T20:36:00Z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owner="KJI" position="TopLeft" marginX="0" marginY="0" classifiedOn="2018-01-14T21:35:41.2015371+01:00" sho</vt:lpwstr>
  </property>
  <property fmtid="{D5CDD505-2E9C-101B-9397-08002B2CF9AE}" pid="3" name="CSOB-DocumentTagging.ClassificationMark.P01">
    <vt:lpwstr>wPrintedBy="false" showPrintDate="false" language="cs" ApplicationVersion="Microsoft Word, 15.0" addinVersion="5.7.11.1" template="CSOB"&gt;&lt;history bulk="false" class="Veřejné" code="C0" user="MADLE Patrik" date="2018-01-14T21:35:41.2045394+01:00" /&gt;&lt;r</vt:lpwstr>
  </property>
  <property fmtid="{D5CDD505-2E9C-101B-9397-08002B2CF9AE}" pid="4" name="CSOB-DocumentTagging.ClassificationMark.P02">
    <vt:lpwstr>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